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F3A6D2">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rPr>
        <w:t>一、</w:t>
      </w:r>
      <w:r>
        <w:rPr>
          <w:rFonts w:hint="default" w:ascii="Times New Roman" w:hAnsi="Times New Roman" w:cs="Times New Roman"/>
          <w:b/>
          <w:bCs/>
          <w:sz w:val="28"/>
          <w:szCs w:val="28"/>
          <w:lang w:val="en-US" w:eastAsia="zh-CN"/>
        </w:rPr>
        <w:t>Products Introduction</w:t>
      </w:r>
    </w:p>
    <w:p w14:paraId="795486E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H</w:t>
      </w:r>
      <w:r>
        <w:rPr>
          <w:rFonts w:hint="default" w:ascii="Times New Roman" w:hAnsi="Times New Roman" w:cs="Times New Roman"/>
          <w:sz w:val="24"/>
          <w:szCs w:val="24"/>
        </w:rPr>
        <w:t xml:space="preserve">WL5310ZXXBYDBEV </w:t>
      </w:r>
      <w:r>
        <w:rPr>
          <w:rFonts w:hint="default" w:ascii="Times New Roman" w:hAnsi="Times New Roman" w:cs="Times New Roman"/>
          <w:sz w:val="24"/>
          <w:szCs w:val="24"/>
          <w:lang w:val="en-US" w:eastAsia="zh-CN"/>
        </w:rPr>
        <w:t>100% Electric Detachable Garbage Truck (Commonly known as Hooklift truck) is a garbage transfer trucks supplied by our company used for integrated garbage compactor, and detachable station garbage container, it is mainly used for transfer the household waste compressed by garbage compactor to the waste treatment plant. It is garbage transfer truck featuring new generation, environment-friendly, easy and reliable operation. All upper structure operation can be completed by driver from the cab.</w:t>
      </w:r>
    </w:p>
    <w:p w14:paraId="152172C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It modified on a professional Class II vehicle chassis, equipped with hooklift mechanism, rear supporting device, hydraulic system, electric control system</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etc. The vehicle can be fitted </w:t>
      </w:r>
      <w:r>
        <w:rPr>
          <w:rFonts w:hint="eastAsia" w:ascii="Times New Roman" w:hAnsi="Times New Roman" w:cs="Times New Roman"/>
          <w:sz w:val="24"/>
          <w:szCs w:val="24"/>
          <w:lang w:val="en-US" w:eastAsia="zh-CN"/>
        </w:rPr>
        <w:t>with</w:t>
      </w:r>
      <w:r>
        <w:rPr>
          <w:rFonts w:hint="default" w:ascii="Times New Roman" w:hAnsi="Times New Roman" w:cs="Times New Roman"/>
          <w:sz w:val="24"/>
          <w:szCs w:val="24"/>
          <w:lang w:val="en-US" w:eastAsia="zh-CN"/>
        </w:rPr>
        <w:t xml:space="preserve"> different hooklift upper structure</w:t>
      </w:r>
      <w:r>
        <w:rPr>
          <w:rFonts w:hint="eastAsia" w:ascii="Times New Roman" w:hAnsi="Times New Roman" w:cs="Times New Roman"/>
          <w:sz w:val="24"/>
          <w:szCs w:val="24"/>
          <w:lang w:val="en-US" w:eastAsia="zh-CN"/>
        </w:rPr>
        <w:t>s</w:t>
      </w:r>
      <w:r>
        <w:rPr>
          <w:rFonts w:hint="default" w:ascii="Times New Roman" w:hAnsi="Times New Roman" w:cs="Times New Roman"/>
          <w:sz w:val="24"/>
          <w:szCs w:val="24"/>
          <w:lang w:val="en-US" w:eastAsia="zh-CN"/>
        </w:rPr>
        <w:t xml:space="preserve"> as per different customers’ requirement</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I</w:t>
      </w:r>
      <w:r>
        <w:rPr>
          <w:rFonts w:hint="default" w:ascii="Times New Roman" w:hAnsi="Times New Roman" w:cs="Times New Roman"/>
          <w:sz w:val="24"/>
          <w:szCs w:val="24"/>
          <w:lang w:val="en-US" w:eastAsia="zh-CN"/>
        </w:rPr>
        <w:t>t can also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be fitted to different containers for different compactors.</w:t>
      </w:r>
    </w:p>
    <w:p w14:paraId="3EE0EBD2">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position w:val="-80"/>
        </w:rPr>
      </w:pPr>
      <w:r>
        <w:rPr>
          <w:rFonts w:hint="eastAsia" w:eastAsia="宋体"/>
          <w:position w:val="-84"/>
          <w:lang w:val="en-US" w:eastAsia="zh-CN"/>
        </w:rPr>
        <w:t xml:space="preserve">  </w:t>
      </w:r>
      <w:r>
        <w:rPr>
          <w:position w:val="-84"/>
        </w:rPr>
        <w:drawing>
          <wp:inline distT="0" distB="0" distL="0" distR="0">
            <wp:extent cx="2334895" cy="2221230"/>
            <wp:effectExtent l="0" t="0" r="8255" b="762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8"/>
                    <a:stretch>
                      <a:fillRect/>
                    </a:stretch>
                  </pic:blipFill>
                  <pic:spPr>
                    <a:xfrm>
                      <a:off x="0" y="0"/>
                      <a:ext cx="2334895" cy="2221230"/>
                    </a:xfrm>
                    <a:prstGeom prst="rect">
                      <a:avLst/>
                    </a:prstGeom>
                  </pic:spPr>
                </pic:pic>
              </a:graphicData>
            </a:graphic>
          </wp:inline>
        </w:drawing>
      </w:r>
      <w:r>
        <w:rPr>
          <w:rFonts w:hint="eastAsia" w:eastAsia="宋体"/>
          <w:position w:val="-84"/>
          <w:lang w:val="en-US" w:eastAsia="zh-CN"/>
        </w:rPr>
        <w:t xml:space="preserve">    </w:t>
      </w:r>
      <w:r>
        <w:rPr>
          <w:position w:val="-80"/>
        </w:rPr>
        <w:drawing>
          <wp:inline distT="0" distB="0" distL="0" distR="0">
            <wp:extent cx="2367280" cy="2182495"/>
            <wp:effectExtent l="0" t="0" r="13970" b="8255"/>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9"/>
                    <a:stretch>
                      <a:fillRect/>
                    </a:stretch>
                  </pic:blipFill>
                  <pic:spPr>
                    <a:xfrm>
                      <a:off x="0" y="0"/>
                      <a:ext cx="2367280" cy="2182495"/>
                    </a:xfrm>
                    <a:prstGeom prst="rect">
                      <a:avLst/>
                    </a:prstGeom>
                  </pic:spPr>
                </pic:pic>
              </a:graphicData>
            </a:graphic>
          </wp:inline>
        </w:drawing>
      </w:r>
    </w:p>
    <w:p w14:paraId="3EC53E15">
      <w:pPr>
        <w:keepNext w:val="0"/>
        <w:keepLines w:val="0"/>
        <w:pageBreakBefore w:val="0"/>
        <w:widowControl/>
        <w:kinsoku w:val="0"/>
        <w:wordWrap/>
        <w:overflowPunct/>
        <w:topLinePunct w:val="0"/>
        <w:autoSpaceDE w:val="0"/>
        <w:autoSpaceDN w:val="0"/>
        <w:bidi w:val="0"/>
        <w:adjustRightInd w:val="0"/>
        <w:snapToGrid w:val="0"/>
        <w:spacing w:line="360" w:lineRule="auto"/>
        <w:ind w:firstLine="1680" w:firstLineChars="600"/>
        <w:textAlignment w:val="baseline"/>
        <w:rPr>
          <w:rFonts w:hint="default" w:ascii="Times New Roman" w:hAnsi="Times New Roman" w:cs="Times New Roman"/>
          <w:position w:val="-80"/>
          <w:lang w:val="en-US" w:eastAsia="zh-CN"/>
        </w:rPr>
      </w:pPr>
      <w:r>
        <w:rPr>
          <w:rFonts w:hint="default" w:ascii="Times New Roman" w:hAnsi="Times New Roman" w:cs="Times New Roman"/>
          <w:sz w:val="28"/>
          <w:szCs w:val="28"/>
          <w:lang w:val="en-US" w:eastAsia="zh-CN"/>
        </w:rPr>
        <w:t>Front                           Rear</w:t>
      </w:r>
    </w:p>
    <w:p w14:paraId="552D4175">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eastAsia" w:ascii="宋体" w:hAnsi="宋体" w:eastAsia="宋体" w:cs="宋体"/>
          <w:sz w:val="24"/>
          <w:szCs w:val="24"/>
          <w:lang w:val="en-US" w:eastAsia="zh-CN"/>
        </w:rPr>
      </w:pPr>
      <w:r>
        <w:drawing>
          <wp:inline distT="0" distB="0" distL="114300" distR="114300">
            <wp:extent cx="2538095" cy="1029970"/>
            <wp:effectExtent l="0" t="0" r="14605"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2538095" cy="1029970"/>
                    </a:xfrm>
                    <a:prstGeom prst="rect">
                      <a:avLst/>
                    </a:prstGeom>
                    <a:noFill/>
                    <a:ln>
                      <a:noFill/>
                    </a:ln>
                  </pic:spPr>
                </pic:pic>
              </a:graphicData>
            </a:graphic>
          </wp:inline>
        </w:drawing>
      </w:r>
      <w:r>
        <w:rPr>
          <w:rFonts w:hint="eastAsia" w:eastAsia="宋体"/>
          <w:lang w:val="en-US" w:eastAsia="zh-CN"/>
        </w:rPr>
        <w:t xml:space="preserve"> </w:t>
      </w:r>
      <w:r>
        <w:drawing>
          <wp:inline distT="0" distB="0" distL="114300" distR="114300">
            <wp:extent cx="2581910" cy="1078230"/>
            <wp:effectExtent l="0" t="0" r="8890" b="762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a:stretch>
                      <a:fillRect/>
                    </a:stretch>
                  </pic:blipFill>
                  <pic:spPr>
                    <a:xfrm>
                      <a:off x="0" y="0"/>
                      <a:ext cx="2581910" cy="1078230"/>
                    </a:xfrm>
                    <a:prstGeom prst="rect">
                      <a:avLst/>
                    </a:prstGeom>
                    <a:noFill/>
                    <a:ln>
                      <a:noFill/>
                    </a:ln>
                  </pic:spPr>
                </pic:pic>
              </a:graphicData>
            </a:graphic>
          </wp:inline>
        </w:drawing>
      </w:r>
    </w:p>
    <w:p w14:paraId="61102D76">
      <w:pPr>
        <w:keepNext w:val="0"/>
        <w:keepLines w:val="0"/>
        <w:pageBreakBefore w:val="0"/>
        <w:widowControl/>
        <w:kinsoku w:val="0"/>
        <w:wordWrap/>
        <w:overflowPunct/>
        <w:topLinePunct w:val="0"/>
        <w:autoSpaceDE w:val="0"/>
        <w:autoSpaceDN w:val="0"/>
        <w:bidi w:val="0"/>
        <w:adjustRightInd w:val="0"/>
        <w:snapToGrid w:val="0"/>
        <w:spacing w:line="360" w:lineRule="auto"/>
        <w:ind w:firstLine="1400" w:firstLineChars="500"/>
        <w:textAlignment w:val="baseline"/>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Left                             Right</w:t>
      </w:r>
    </w:p>
    <w:p w14:paraId="2220BFE1">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二、Functional Overview</w:t>
      </w:r>
    </w:p>
    <w:p w14:paraId="6962F8B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hooklift truck has functions mainly for container</w:t>
      </w:r>
      <w:r>
        <w:rPr>
          <w:rFonts w:hint="eastAsia" w:ascii="Times New Roman" w:hAnsi="Times New Roman" w:cs="Times New Roman"/>
          <w:sz w:val="24"/>
          <w:szCs w:val="24"/>
          <w:lang w:val="en-US" w:eastAsia="zh-CN"/>
        </w:rPr>
        <w:t xml:space="preserve"> loading</w:t>
      </w:r>
      <w:r>
        <w:rPr>
          <w:rFonts w:hint="default" w:ascii="Times New Roman" w:hAnsi="Times New Roman" w:cs="Times New Roman"/>
          <w:sz w:val="24"/>
          <w:szCs w:val="24"/>
          <w:lang w:val="en-US" w:eastAsia="zh-CN"/>
        </w:rPr>
        <w:t>, container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unloading, garbage transfer and discharging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etc.</w:t>
      </w:r>
    </w:p>
    <w:p w14:paraId="69E7CBC7">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三、Application</w:t>
      </w:r>
    </w:p>
    <w:p w14:paraId="2F75D73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This vehicle can be used for collection and transportation of household waste, kitchen waste, and sorted waste, fast garbage transfer in high-dense population area,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as well as integrate with sanitation transfer station: Paired with mobile compactor station, fixed garbage station, it realizes workflow of “container entry station”, “vehicle transport container”. </w:t>
      </w:r>
    </w:p>
    <w:p w14:paraId="74145C05">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四、Main </w:t>
      </w:r>
      <w:r>
        <w:rPr>
          <w:rFonts w:hint="eastAsia" w:ascii="Times New Roman" w:hAnsi="Times New Roman" w:cs="Times New Roman"/>
          <w:b/>
          <w:bCs/>
          <w:sz w:val="28"/>
          <w:szCs w:val="28"/>
          <w:lang w:val="en-US" w:eastAsia="zh-CN"/>
        </w:rPr>
        <w:t>S</w:t>
      </w:r>
      <w:r>
        <w:rPr>
          <w:rFonts w:hint="default" w:ascii="Times New Roman" w:hAnsi="Times New Roman" w:cs="Times New Roman"/>
          <w:b/>
          <w:bCs/>
          <w:sz w:val="28"/>
          <w:szCs w:val="28"/>
          <w:lang w:val="en-US" w:eastAsia="zh-CN"/>
        </w:rPr>
        <w:t xml:space="preserve">tructure and </w:t>
      </w:r>
      <w:r>
        <w:rPr>
          <w:rFonts w:hint="eastAsia" w:ascii="Times New Roman" w:hAnsi="Times New Roman" w:cs="Times New Roman"/>
          <w:b/>
          <w:bCs/>
          <w:sz w:val="28"/>
          <w:szCs w:val="28"/>
          <w:lang w:val="en-US" w:eastAsia="zh-CN"/>
        </w:rPr>
        <w:t>P</w:t>
      </w:r>
      <w:r>
        <w:rPr>
          <w:rFonts w:hint="default" w:ascii="Times New Roman" w:hAnsi="Times New Roman" w:cs="Times New Roman"/>
          <w:b/>
          <w:bCs/>
          <w:sz w:val="28"/>
          <w:szCs w:val="28"/>
          <w:lang w:val="en-US" w:eastAsia="zh-CN"/>
        </w:rPr>
        <w:t xml:space="preserve">erformance </w:t>
      </w:r>
      <w:r>
        <w:rPr>
          <w:rFonts w:hint="eastAsia" w:ascii="Times New Roman" w:hAnsi="Times New Roman" w:cs="Times New Roman"/>
          <w:b/>
          <w:bCs/>
          <w:sz w:val="28"/>
          <w:szCs w:val="28"/>
          <w:lang w:val="en-US" w:eastAsia="zh-CN"/>
        </w:rPr>
        <w:t>P</w:t>
      </w:r>
      <w:r>
        <w:rPr>
          <w:rFonts w:hint="default" w:ascii="Times New Roman" w:hAnsi="Times New Roman" w:cs="Times New Roman"/>
          <w:b/>
          <w:bCs/>
          <w:sz w:val="28"/>
          <w:szCs w:val="28"/>
          <w:lang w:val="en-US" w:eastAsia="zh-CN"/>
        </w:rPr>
        <w:t>arameters</w:t>
      </w:r>
    </w:p>
    <w:p w14:paraId="728C763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hooklift truck consist</w:t>
      </w:r>
      <w:r>
        <w:rPr>
          <w:rFonts w:hint="eastAsia" w:ascii="Times New Roman" w:hAnsi="Times New Roman" w:cs="Times New Roman"/>
          <w:sz w:val="24"/>
          <w:szCs w:val="24"/>
          <w:lang w:val="en-US" w:eastAsia="zh-CN"/>
        </w:rPr>
        <w:t>s</w:t>
      </w:r>
      <w:r>
        <w:rPr>
          <w:rFonts w:hint="default" w:ascii="Times New Roman" w:hAnsi="Times New Roman" w:cs="Times New Roman"/>
          <w:sz w:val="24"/>
          <w:szCs w:val="24"/>
          <w:lang w:val="en-US" w:eastAsia="zh-CN"/>
        </w:rPr>
        <w:t xml:space="preserve"> of chassis,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hooklift mechanism, rear supporting device, hydraulic system, electric system</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etc, details as follows</w:t>
      </w:r>
      <w:r>
        <w:rPr>
          <w:rFonts w:hint="eastAsia" w:ascii="Times New Roman" w:hAnsi="Times New Roman" w:cs="Times New Roman"/>
          <w:sz w:val="24"/>
          <w:szCs w:val="24"/>
          <w:lang w:val="en-US" w:eastAsia="zh-CN"/>
        </w:rPr>
        <w:t>:</w:t>
      </w:r>
    </w:p>
    <w:p w14:paraId="77F3B07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default" w:ascii="Arial" w:hAnsi="Arial" w:cs="Arial"/>
          <w:sz w:val="28"/>
          <w:szCs w:val="28"/>
          <w:lang w:val="en-US" w:eastAsia="zh-CN"/>
        </w:rPr>
      </w:pPr>
      <w:r>
        <w:rPr>
          <w:position w:val="-71"/>
        </w:rPr>
        <w:drawing>
          <wp:inline distT="0" distB="0" distL="0" distR="0">
            <wp:extent cx="5190490" cy="2200910"/>
            <wp:effectExtent l="0" t="0" r="10160" b="889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2"/>
                    <a:stretch>
                      <a:fillRect/>
                    </a:stretch>
                  </pic:blipFill>
                  <pic:spPr>
                    <a:xfrm>
                      <a:off x="0" y="0"/>
                      <a:ext cx="5190743" cy="2200910"/>
                    </a:xfrm>
                    <a:prstGeom prst="rect">
                      <a:avLst/>
                    </a:prstGeom>
                  </pic:spPr>
                </pic:pic>
              </a:graphicData>
            </a:graphic>
          </wp:inline>
        </w:drawing>
      </w:r>
    </w:p>
    <w:p w14:paraId="331F4A2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1.Chassis</w:t>
      </w:r>
    </w:p>
    <w:p w14:paraId="79700A2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vehicle is modified on BYD 1310C2BEVC5 Class II chassis. This chassis boasts powerful power and high load capacity, making it one of the most advanced and reliable pure electric chassis available domestically at present.</w:t>
      </w:r>
    </w:p>
    <w:p w14:paraId="0011412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vehicle is equipped with BYD TZ365XSD1 drive motor. Its rated power is 250 kW, and the peak power can reach 370 kW.</w:t>
      </w:r>
    </w:p>
    <w:p w14:paraId="7FA7E5A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2.</w:t>
      </w:r>
      <w:r>
        <w:rPr>
          <w:rFonts w:hint="default" w:ascii="Times New Roman" w:hAnsi="Times New Roman" w:cs="Times New Roman"/>
          <w:sz w:val="28"/>
          <w:szCs w:val="28"/>
          <w:lang w:val="en-US" w:eastAsia="zh-CN"/>
        </w:rPr>
        <w:t xml:space="preserve">Hook-lift </w:t>
      </w:r>
      <w:r>
        <w:rPr>
          <w:rFonts w:hint="eastAsia" w:ascii="Times New Roman" w:hAnsi="Times New Roman" w:cs="Times New Roman"/>
          <w:sz w:val="28"/>
          <w:szCs w:val="28"/>
          <w:lang w:val="en-US" w:eastAsia="zh-CN"/>
        </w:rPr>
        <w:t>D</w:t>
      </w:r>
      <w:r>
        <w:rPr>
          <w:rFonts w:hint="default" w:ascii="Times New Roman" w:hAnsi="Times New Roman" w:cs="Times New Roman"/>
          <w:sz w:val="28"/>
          <w:szCs w:val="28"/>
          <w:lang w:val="en-US" w:eastAsia="zh-CN"/>
        </w:rPr>
        <w:t>evice</w:t>
      </w:r>
    </w:p>
    <w:p w14:paraId="5952029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center"/>
        <w:textAlignment w:val="baseline"/>
        <w:rPr>
          <w:rFonts w:hint="default" w:ascii="Arial" w:hAnsi="Arial" w:cs="Arial"/>
          <w:sz w:val="28"/>
          <w:szCs w:val="28"/>
          <w:lang w:val="en-US" w:eastAsia="zh-CN"/>
        </w:rPr>
      </w:pPr>
      <w:r>
        <w:rPr>
          <w:position w:val="-78"/>
        </w:rPr>
        <w:drawing>
          <wp:inline distT="0" distB="0" distL="0" distR="0">
            <wp:extent cx="3481070" cy="2406015"/>
            <wp:effectExtent l="0" t="0" r="5080" b="13335"/>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3"/>
                    <a:stretch>
                      <a:fillRect/>
                    </a:stretch>
                  </pic:blipFill>
                  <pic:spPr>
                    <a:xfrm>
                      <a:off x="0" y="0"/>
                      <a:ext cx="3481070" cy="2406015"/>
                    </a:xfrm>
                    <a:prstGeom prst="rect">
                      <a:avLst/>
                    </a:prstGeom>
                  </pic:spPr>
                </pic:pic>
              </a:graphicData>
            </a:graphic>
          </wp:inline>
        </w:drawing>
      </w:r>
    </w:p>
    <w:p w14:paraId="527AB1F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Hook-lift mechanism is equipped on the chassis,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and performs function of container </w:t>
      </w:r>
      <w:r>
        <w:rPr>
          <w:rFonts w:hint="eastAsia" w:ascii="Times New Roman" w:hAnsi="Times New Roman" w:cs="Times New Roman"/>
          <w:sz w:val="24"/>
          <w:szCs w:val="24"/>
          <w:lang w:val="en-US" w:eastAsia="zh-CN"/>
        </w:rPr>
        <w:t>loading</w:t>
      </w:r>
      <w:r>
        <w:rPr>
          <w:rFonts w:hint="default" w:ascii="Times New Roman" w:hAnsi="Times New Roman" w:cs="Times New Roman"/>
          <w:sz w:val="24"/>
          <w:szCs w:val="24"/>
          <w:lang w:val="en-US" w:eastAsia="zh-CN"/>
        </w:rPr>
        <w:t>, container unloading, and discharging</w:t>
      </w:r>
      <w:r>
        <w:rPr>
          <w:rFonts w:hint="eastAsia" w:ascii="Times New Roman" w:hAnsi="Times New Roman" w:cs="Times New Roman"/>
          <w:sz w:val="24"/>
          <w:szCs w:val="24"/>
          <w:lang w:val="en-US" w:eastAsia="zh-CN"/>
        </w:rPr>
        <w:t>.</w:t>
      </w:r>
    </w:p>
    <w:p w14:paraId="3F4F353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The container lock in the </w:t>
      </w:r>
      <w:r>
        <w:rPr>
          <w:rFonts w:hint="eastAsia" w:ascii="Times New Roman" w:hAnsi="Times New Roman" w:cs="Times New Roman"/>
          <w:sz w:val="24"/>
          <w:szCs w:val="24"/>
          <w:lang w:val="en-US" w:eastAsia="zh-CN"/>
        </w:rPr>
        <w:t>hooklift mechanism</w:t>
      </w:r>
      <w:r>
        <w:rPr>
          <w:rFonts w:hint="default" w:ascii="Times New Roman" w:hAnsi="Times New Roman" w:cs="Times New Roman"/>
          <w:sz w:val="24"/>
          <w:szCs w:val="24"/>
          <w:lang w:val="en-US" w:eastAsia="zh-CN"/>
        </w:rPr>
        <w:t xml:space="preserve"> is mainly used to lock the container, restrict its movement to ensure safe transportation, and protect the arm pull device during unloading.</w:t>
      </w:r>
    </w:p>
    <w:p w14:paraId="65E751E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lang w:val="en-US" w:eastAsia="zh-CN"/>
        </w:rPr>
      </w:pPr>
      <w:r>
        <w:rPr>
          <w:rFonts w:hint="default" w:ascii="Times New Roman" w:hAnsi="Times New Roman" w:cs="Times New Roman"/>
          <w:sz w:val="28"/>
          <w:szCs w:val="28"/>
        </w:rPr>
        <w:t xml:space="preserve">3. </w:t>
      </w:r>
      <w:r>
        <w:rPr>
          <w:rFonts w:hint="default" w:ascii="Times New Roman" w:hAnsi="Times New Roman" w:cs="Times New Roman"/>
          <w:sz w:val="28"/>
          <w:szCs w:val="28"/>
          <w:lang w:val="en-US" w:eastAsia="zh-CN"/>
        </w:rPr>
        <w:t>Rear Support Device</w:t>
      </w:r>
    </w:p>
    <w:p w14:paraId="1F212F9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rear support device is installed in rear of chassis frame</w:t>
      </w:r>
      <w:r>
        <w:rPr>
          <w:rFonts w:hint="eastAsia" w:ascii="Times New Roman" w:hAnsi="Times New Roman" w:cs="Times New Roman"/>
          <w:sz w:val="24"/>
          <w:szCs w:val="24"/>
          <w:lang w:val="en-US" w:eastAsia="zh-CN"/>
        </w:rPr>
        <w:t>.</w:t>
      </w:r>
    </w:p>
    <w:p w14:paraId="098D443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When loading or unloading full containers operation, support leg cylinder should be extended completely, to make the rear roller to support ground, </w:t>
      </w:r>
      <w:r>
        <w:rPr>
          <w:rFonts w:hint="eastAsia" w:ascii="Times New Roman" w:hAnsi="Times New Roman" w:cs="Times New Roman"/>
          <w:sz w:val="24"/>
          <w:szCs w:val="24"/>
          <w:lang w:val="en-US" w:eastAsia="zh-CN"/>
        </w:rPr>
        <w:t>p</w:t>
      </w:r>
      <w:r>
        <w:rPr>
          <w:rFonts w:hint="default" w:ascii="Times New Roman" w:hAnsi="Times New Roman" w:cs="Times New Roman"/>
          <w:sz w:val="24"/>
          <w:szCs w:val="24"/>
          <w:lang w:val="en-US" w:eastAsia="zh-CN"/>
        </w:rPr>
        <w:t>reventi</w:t>
      </w:r>
      <w:r>
        <w:rPr>
          <w:rFonts w:hint="eastAsia" w:ascii="Times New Roman" w:hAnsi="Times New Roman" w:cs="Times New Roman"/>
          <w:sz w:val="24"/>
          <w:szCs w:val="24"/>
          <w:lang w:val="en-US" w:eastAsia="zh-CN"/>
        </w:rPr>
        <w:t>ng</w:t>
      </w:r>
      <w:r>
        <w:rPr>
          <w:rFonts w:hint="default" w:ascii="Times New Roman" w:hAnsi="Times New Roman" w:cs="Times New Roman"/>
          <w:sz w:val="24"/>
          <w:szCs w:val="24"/>
          <w:lang w:val="en-US" w:eastAsia="zh-CN"/>
        </w:rPr>
        <w:t xml:space="preserve"> vehicle from tipping backward. During </w:t>
      </w:r>
      <w:r>
        <w:rPr>
          <w:rFonts w:hint="eastAsia" w:ascii="Times New Roman" w:hAnsi="Times New Roman" w:cs="Times New Roman"/>
          <w:sz w:val="24"/>
          <w:szCs w:val="24"/>
          <w:lang w:val="en-US" w:eastAsia="zh-CN"/>
        </w:rPr>
        <w:t>n</w:t>
      </w:r>
      <w:r>
        <w:rPr>
          <w:rFonts w:hint="default" w:ascii="Times New Roman" w:hAnsi="Times New Roman" w:cs="Times New Roman"/>
          <w:sz w:val="24"/>
          <w:szCs w:val="24"/>
          <w:lang w:val="en-US" w:eastAsia="zh-CN"/>
        </w:rPr>
        <w:t>ormal driving, the support leg cylinder must be retracted, and support roller must be back</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lang w:val="en-US" w:eastAsia="zh-CN"/>
        </w:rPr>
        <w:t>.</w:t>
      </w:r>
    </w:p>
    <w:p w14:paraId="66ECDE8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lang w:val="en-US" w:eastAsia="zh-CN"/>
        </w:rPr>
      </w:pPr>
      <w:r>
        <w:rPr>
          <w:rFonts w:hint="default" w:ascii="Times New Roman" w:hAnsi="Times New Roman" w:cs="Times New Roman"/>
          <w:sz w:val="28"/>
          <w:szCs w:val="28"/>
        </w:rPr>
        <w:t xml:space="preserve">4. </w:t>
      </w:r>
      <w:r>
        <w:rPr>
          <w:rFonts w:hint="default" w:ascii="Times New Roman" w:hAnsi="Times New Roman" w:cs="Times New Roman"/>
          <w:sz w:val="28"/>
          <w:szCs w:val="28"/>
          <w:lang w:val="en-US" w:eastAsia="zh-CN"/>
        </w:rPr>
        <w:t xml:space="preserve">Hydraulic </w:t>
      </w:r>
      <w:r>
        <w:rPr>
          <w:rFonts w:hint="eastAsia" w:ascii="Times New Roman" w:hAnsi="Times New Roman" w:cs="Times New Roman"/>
          <w:sz w:val="28"/>
          <w:szCs w:val="28"/>
          <w:lang w:val="en-US" w:eastAsia="zh-CN"/>
        </w:rPr>
        <w:t>S</w:t>
      </w:r>
      <w:r>
        <w:rPr>
          <w:rFonts w:hint="default" w:ascii="Times New Roman" w:hAnsi="Times New Roman" w:cs="Times New Roman"/>
          <w:sz w:val="28"/>
          <w:szCs w:val="28"/>
          <w:lang w:val="en-US" w:eastAsia="zh-CN"/>
        </w:rPr>
        <w:t>ystem</w:t>
      </w:r>
    </w:p>
    <w:p w14:paraId="69E6CB5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hydraulic system serves as the power and control system that enables all functions of the hook-lift truck.</w:t>
      </w:r>
    </w:p>
    <w:p w14:paraId="777E21A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Hooklift hydraulic system is an open system, oil pump take power from power take-off PTO, to provide hydraulic oil to each circuit cylinder, by change direction of multi-way valve, to control of hydraulic oil flow direction, to regulate each circuit cylinder operation. Hydraulic system consist</w:t>
      </w:r>
      <w:r>
        <w:rPr>
          <w:rFonts w:hint="eastAsia" w:ascii="Times New Roman" w:hAnsi="Times New Roman" w:cs="Times New Roman"/>
          <w:sz w:val="24"/>
          <w:szCs w:val="24"/>
          <w:lang w:val="en-US" w:eastAsia="zh-CN"/>
        </w:rPr>
        <w:t>s</w:t>
      </w:r>
      <w:r>
        <w:rPr>
          <w:rFonts w:hint="default" w:ascii="Times New Roman" w:hAnsi="Times New Roman" w:cs="Times New Roman"/>
          <w:sz w:val="24"/>
          <w:szCs w:val="24"/>
          <w:lang w:val="en-US" w:eastAsia="zh-CN"/>
        </w:rPr>
        <w:t xml:space="preserve"> of main hydraulic cylinder circuit, sliding arm circuit, locking circuit, rear support circuit, and container circuit</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 xml:space="preserve">The </w:t>
      </w:r>
      <w:r>
        <w:rPr>
          <w:rFonts w:hint="default" w:ascii="Times New Roman" w:hAnsi="Times New Roman" w:cs="Times New Roman"/>
          <w:sz w:val="24"/>
          <w:szCs w:val="24"/>
          <w:lang w:val="en-US" w:eastAsia="zh-CN"/>
        </w:rPr>
        <w:t>system maximum operation pressure is 30MPa</w:t>
      </w:r>
      <w:r>
        <w:rPr>
          <w:rFonts w:hint="eastAsia" w:ascii="Times New Roman" w:hAnsi="Times New Roman" w:cs="Times New Roman"/>
          <w:sz w:val="24"/>
          <w:szCs w:val="24"/>
          <w:lang w:val="en-US" w:eastAsia="zh-CN"/>
        </w:rPr>
        <w:t>.</w:t>
      </w:r>
    </w:p>
    <w:p w14:paraId="0EF4C79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Since the tank of the hook lift truck needs to be separated from the vehicle for operation, the carriage circuit is connected to the hydraulic system on the vehicle via quick couplers.</w:t>
      </w:r>
    </w:p>
    <w:p w14:paraId="61A448E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lang w:val="en-US" w:eastAsia="zh-CN"/>
        </w:rPr>
      </w:pPr>
      <w:r>
        <w:rPr>
          <w:rFonts w:hint="default" w:ascii="Times New Roman" w:hAnsi="Times New Roman" w:cs="Times New Roman"/>
          <w:sz w:val="28"/>
          <w:szCs w:val="28"/>
        </w:rPr>
        <w:t xml:space="preserve">5. </w:t>
      </w:r>
      <w:r>
        <w:rPr>
          <w:rFonts w:hint="default" w:ascii="Times New Roman" w:hAnsi="Times New Roman" w:cs="Times New Roman"/>
          <w:sz w:val="28"/>
          <w:szCs w:val="28"/>
          <w:lang w:val="en-US" w:eastAsia="zh-CN"/>
        </w:rPr>
        <w:t>Electric System</w:t>
      </w:r>
    </w:p>
    <w:p w14:paraId="04D5101B">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cs="Times New Roman"/>
          <w:sz w:val="24"/>
          <w:szCs w:val="24"/>
          <w:lang w:val="en-US" w:eastAsia="zh-CN"/>
        </w:rPr>
      </w:pPr>
      <w:r>
        <w:rPr>
          <w:rFonts w:hint="default" w:ascii="Arial" w:hAnsi="Arial" w:cs="Arial"/>
          <w:sz w:val="28"/>
          <w:szCs w:val="28"/>
          <w:lang w:val="en-US" w:eastAsia="zh-CN"/>
        </w:rPr>
        <w:t xml:space="preserve"> </w:t>
      </w:r>
      <w:r>
        <w:rPr>
          <w:rFonts w:hint="default" w:ascii="Times New Roman" w:hAnsi="Times New Roman" w:cs="Times New Roman"/>
          <w:sz w:val="24"/>
          <w:szCs w:val="24"/>
          <w:lang w:val="en-US" w:eastAsia="zh-CN"/>
        </w:rPr>
        <w:t>Hooklift electric system take</w:t>
      </w:r>
      <w:r>
        <w:rPr>
          <w:rFonts w:hint="eastAsia" w:ascii="Times New Roman" w:hAnsi="Times New Roman" w:cs="Times New Roman"/>
          <w:sz w:val="24"/>
          <w:szCs w:val="24"/>
          <w:lang w:val="en-US" w:eastAsia="zh-CN"/>
        </w:rPr>
        <w:t>s</w:t>
      </w:r>
      <w:r>
        <w:rPr>
          <w:rFonts w:hint="default" w:ascii="Times New Roman" w:hAnsi="Times New Roman" w:cs="Times New Roman"/>
          <w:sz w:val="24"/>
          <w:szCs w:val="24"/>
          <w:lang w:val="en-US" w:eastAsia="zh-CN"/>
        </w:rPr>
        <w:t xml:space="preserve"> power from chassis power supply, by control of switch, electric relay,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and sensors, </w:t>
      </w:r>
      <w:r>
        <w:rPr>
          <w:rFonts w:hint="eastAsia" w:ascii="Times New Roman" w:hAnsi="Times New Roman" w:cs="Times New Roman"/>
          <w:sz w:val="24"/>
          <w:szCs w:val="24"/>
          <w:lang w:val="en-US" w:eastAsia="zh-CN"/>
        </w:rPr>
        <w:t>achieving</w:t>
      </w:r>
      <w:r>
        <w:rPr>
          <w:rFonts w:hint="default" w:ascii="Times New Roman" w:hAnsi="Times New Roman" w:cs="Times New Roman"/>
          <w:sz w:val="24"/>
          <w:szCs w:val="24"/>
          <w:lang w:val="en-US" w:eastAsia="zh-CN"/>
        </w:rPr>
        <w:t xml:space="preserve"> lifting and lowering of the main arm, sliding arm extension and retraction, opening and closing of the container lock, deployment and retraction of rear support, as well as opening and closing container discharging door.</w:t>
      </w:r>
    </w:p>
    <w:p w14:paraId="695E0AF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lang w:val="en-US" w:eastAsia="zh-CN"/>
        </w:rPr>
      </w:pPr>
      <w:r>
        <w:rPr>
          <w:rFonts w:hint="default" w:ascii="Times New Roman" w:hAnsi="Times New Roman" w:cs="Times New Roman"/>
          <w:sz w:val="28"/>
          <w:szCs w:val="28"/>
        </w:rPr>
        <w:t>6.</w:t>
      </w:r>
      <w:r>
        <w:rPr>
          <w:rFonts w:hint="default" w:ascii="Times New Roman" w:hAnsi="Times New Roman" w:cs="Times New Roman"/>
          <w:sz w:val="28"/>
          <w:szCs w:val="28"/>
          <w:lang w:val="en-US" w:eastAsia="zh-CN"/>
        </w:rPr>
        <w:t xml:space="preserve"> Operation Manual</w:t>
      </w:r>
    </w:p>
    <w:p w14:paraId="5A5FFE3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vehicle adopted electric control mode, standard option include wired control panel(see attached pics), remote controller is an optional.</w:t>
      </w:r>
    </w:p>
    <w:p w14:paraId="10922B9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Operator can handheld the control panel(or remote controller) to operate either seated inside cab seats or stand outside cab.</w:t>
      </w:r>
    </w:p>
    <w:p w14:paraId="19DB0FA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r>
        <w:drawing>
          <wp:inline distT="0" distB="0" distL="114300" distR="114300">
            <wp:extent cx="1641475" cy="3868420"/>
            <wp:effectExtent l="0" t="0" r="15875" b="1778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1641475" cy="3868420"/>
                    </a:xfrm>
                    <a:prstGeom prst="rect">
                      <a:avLst/>
                    </a:prstGeom>
                    <a:noFill/>
                    <a:ln>
                      <a:noFill/>
                    </a:ln>
                  </pic:spPr>
                </pic:pic>
              </a:graphicData>
            </a:graphic>
          </wp:inline>
        </w:drawing>
      </w:r>
    </w:p>
    <w:p w14:paraId="7359DBA7">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五、Product Technical Parameters</w:t>
      </w:r>
    </w:p>
    <w:tbl>
      <w:tblPr>
        <w:tblStyle w:val="6"/>
        <w:tblW w:w="860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4"/>
        <w:gridCol w:w="2623"/>
        <w:gridCol w:w="1080"/>
        <w:gridCol w:w="3333"/>
      </w:tblGrid>
      <w:tr w14:paraId="66178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4187" w:type="dxa"/>
            <w:gridSpan w:val="2"/>
            <w:shd w:val="clear" w:color="auto" w:fill="A4A4A4"/>
            <w:vAlign w:val="top"/>
          </w:tcPr>
          <w:p w14:paraId="4F4BC8C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Item</w:t>
            </w:r>
          </w:p>
        </w:tc>
        <w:tc>
          <w:tcPr>
            <w:tcW w:w="1080" w:type="dxa"/>
            <w:shd w:val="clear" w:color="auto" w:fill="A4A4A4"/>
            <w:vAlign w:val="top"/>
          </w:tcPr>
          <w:p w14:paraId="73604AF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Unit</w:t>
            </w:r>
          </w:p>
        </w:tc>
        <w:tc>
          <w:tcPr>
            <w:tcW w:w="3333" w:type="dxa"/>
            <w:shd w:val="clear" w:color="auto" w:fill="A4A4A4"/>
            <w:vAlign w:val="top"/>
          </w:tcPr>
          <w:p w14:paraId="3966FB0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Parameter</w:t>
            </w:r>
          </w:p>
        </w:tc>
      </w:tr>
      <w:tr w14:paraId="0CEB8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564" w:type="dxa"/>
            <w:vMerge w:val="restart"/>
            <w:tcBorders>
              <w:bottom w:val="nil"/>
            </w:tcBorders>
            <w:vAlign w:val="top"/>
          </w:tcPr>
          <w:p w14:paraId="23C9CAF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0A2A9B1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32969EC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3891B8E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243345E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43B7CDEF">
            <w:pPr>
              <w:keepNext w:val="0"/>
              <w:keepLines w:val="0"/>
              <w:pageBreakBefore w:val="0"/>
              <w:widowControl/>
              <w:kinsoku w:val="0"/>
              <w:wordWrap/>
              <w:overflowPunct/>
              <w:topLinePunct w:val="0"/>
              <w:autoSpaceDE w:val="0"/>
              <w:autoSpaceDN w:val="0"/>
              <w:bidi w:val="0"/>
              <w:adjustRightInd w:val="0"/>
              <w:snapToGrid w:val="0"/>
              <w:spacing w:line="360" w:lineRule="auto"/>
              <w:ind w:left="340" w:leftChars="162" w:firstLine="0" w:firstLineChars="0"/>
              <w:jc w:val="both"/>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Vehicle Parameter</w:t>
            </w:r>
          </w:p>
        </w:tc>
        <w:tc>
          <w:tcPr>
            <w:tcW w:w="2623" w:type="dxa"/>
            <w:vAlign w:val="top"/>
          </w:tcPr>
          <w:p w14:paraId="1EECB3F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Maximum Total Mass</w:t>
            </w:r>
          </w:p>
        </w:tc>
        <w:tc>
          <w:tcPr>
            <w:tcW w:w="1080" w:type="dxa"/>
            <w:vAlign w:val="top"/>
          </w:tcPr>
          <w:p w14:paraId="3E5CCD3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kg</w:t>
            </w:r>
          </w:p>
        </w:tc>
        <w:tc>
          <w:tcPr>
            <w:tcW w:w="3333" w:type="dxa"/>
            <w:vAlign w:val="top"/>
          </w:tcPr>
          <w:p w14:paraId="2FCEDE4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31000</w:t>
            </w:r>
          </w:p>
        </w:tc>
      </w:tr>
      <w:tr w14:paraId="77F28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564" w:type="dxa"/>
            <w:vMerge w:val="continue"/>
            <w:tcBorders>
              <w:top w:val="nil"/>
              <w:bottom w:val="nil"/>
            </w:tcBorders>
            <w:vAlign w:val="top"/>
          </w:tcPr>
          <w:p w14:paraId="2BEBB67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vAlign w:val="top"/>
          </w:tcPr>
          <w:p w14:paraId="12CE015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Curb Weight</w:t>
            </w:r>
          </w:p>
        </w:tc>
        <w:tc>
          <w:tcPr>
            <w:tcW w:w="1080" w:type="dxa"/>
            <w:vAlign w:val="top"/>
          </w:tcPr>
          <w:p w14:paraId="4ABFEC3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kg</w:t>
            </w:r>
          </w:p>
        </w:tc>
        <w:tc>
          <w:tcPr>
            <w:tcW w:w="3333" w:type="dxa"/>
            <w:vAlign w:val="top"/>
          </w:tcPr>
          <w:p w14:paraId="77813AB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15280</w:t>
            </w:r>
          </w:p>
        </w:tc>
      </w:tr>
      <w:tr w14:paraId="33D82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564" w:type="dxa"/>
            <w:vMerge w:val="continue"/>
            <w:tcBorders>
              <w:top w:val="nil"/>
              <w:bottom w:val="nil"/>
            </w:tcBorders>
            <w:vAlign w:val="top"/>
          </w:tcPr>
          <w:p w14:paraId="0D24319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vAlign w:val="top"/>
          </w:tcPr>
          <w:p w14:paraId="141AC15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Rated Payload</w:t>
            </w:r>
          </w:p>
        </w:tc>
        <w:tc>
          <w:tcPr>
            <w:tcW w:w="1080" w:type="dxa"/>
            <w:vAlign w:val="top"/>
          </w:tcPr>
          <w:p w14:paraId="3C5D6E7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kg</w:t>
            </w:r>
          </w:p>
        </w:tc>
        <w:tc>
          <w:tcPr>
            <w:tcW w:w="3333" w:type="dxa"/>
            <w:vAlign w:val="top"/>
          </w:tcPr>
          <w:p w14:paraId="19C431E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15590</w:t>
            </w:r>
          </w:p>
        </w:tc>
      </w:tr>
      <w:tr w14:paraId="6A5C4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564" w:type="dxa"/>
            <w:vMerge w:val="continue"/>
            <w:tcBorders>
              <w:top w:val="nil"/>
              <w:bottom w:val="nil"/>
            </w:tcBorders>
            <w:vAlign w:val="top"/>
          </w:tcPr>
          <w:p w14:paraId="51DA3CB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vAlign w:val="top"/>
          </w:tcPr>
          <w:p w14:paraId="1BC15D0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Overall Dimension(L×W×H)</w:t>
            </w:r>
          </w:p>
        </w:tc>
        <w:tc>
          <w:tcPr>
            <w:tcW w:w="1080" w:type="dxa"/>
            <w:vAlign w:val="top"/>
          </w:tcPr>
          <w:p w14:paraId="0591D78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mm</w:t>
            </w:r>
          </w:p>
        </w:tc>
        <w:tc>
          <w:tcPr>
            <w:tcW w:w="3333" w:type="dxa"/>
            <w:vAlign w:val="top"/>
          </w:tcPr>
          <w:p w14:paraId="012C194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9830×2550×3320</w:t>
            </w:r>
          </w:p>
        </w:tc>
      </w:tr>
      <w:tr w14:paraId="4069D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564" w:type="dxa"/>
            <w:vMerge w:val="continue"/>
            <w:tcBorders>
              <w:top w:val="nil"/>
              <w:bottom w:val="nil"/>
            </w:tcBorders>
            <w:vAlign w:val="top"/>
          </w:tcPr>
          <w:p w14:paraId="0C27CB6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vAlign w:val="top"/>
          </w:tcPr>
          <w:p w14:paraId="6CA40B8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Wheel Base</w:t>
            </w:r>
          </w:p>
        </w:tc>
        <w:tc>
          <w:tcPr>
            <w:tcW w:w="1080" w:type="dxa"/>
            <w:vAlign w:val="top"/>
          </w:tcPr>
          <w:p w14:paraId="0E49039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mm</w:t>
            </w:r>
          </w:p>
        </w:tc>
        <w:tc>
          <w:tcPr>
            <w:tcW w:w="3333" w:type="dxa"/>
            <w:vAlign w:val="top"/>
          </w:tcPr>
          <w:p w14:paraId="38171EE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2000+3400+1400</w:t>
            </w:r>
          </w:p>
        </w:tc>
      </w:tr>
      <w:tr w14:paraId="11CC3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564" w:type="dxa"/>
            <w:vMerge w:val="continue"/>
            <w:tcBorders>
              <w:top w:val="nil"/>
              <w:bottom w:val="nil"/>
            </w:tcBorders>
            <w:vAlign w:val="top"/>
          </w:tcPr>
          <w:p w14:paraId="34C0609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vAlign w:val="top"/>
          </w:tcPr>
          <w:p w14:paraId="03D8F37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Front Overhang/Rear Overhang</w:t>
            </w:r>
          </w:p>
        </w:tc>
        <w:tc>
          <w:tcPr>
            <w:tcW w:w="1080" w:type="dxa"/>
            <w:vAlign w:val="top"/>
          </w:tcPr>
          <w:p w14:paraId="131F19E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mm</w:t>
            </w:r>
          </w:p>
        </w:tc>
        <w:tc>
          <w:tcPr>
            <w:tcW w:w="3333" w:type="dxa"/>
            <w:vAlign w:val="top"/>
          </w:tcPr>
          <w:p w14:paraId="3A6C095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1600/1430</w:t>
            </w:r>
          </w:p>
        </w:tc>
      </w:tr>
      <w:tr w14:paraId="7CC69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564" w:type="dxa"/>
            <w:vMerge w:val="continue"/>
            <w:tcBorders>
              <w:top w:val="nil"/>
              <w:bottom w:val="nil"/>
            </w:tcBorders>
            <w:vAlign w:val="top"/>
          </w:tcPr>
          <w:p w14:paraId="3AE4C8C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vAlign w:val="top"/>
          </w:tcPr>
          <w:p w14:paraId="605AB23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Approach Angle/Departure Angle</w:t>
            </w:r>
          </w:p>
        </w:tc>
        <w:tc>
          <w:tcPr>
            <w:tcW w:w="1080" w:type="dxa"/>
            <w:vAlign w:val="top"/>
          </w:tcPr>
          <w:p w14:paraId="65C3C66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t>
            </w:r>
          </w:p>
        </w:tc>
        <w:tc>
          <w:tcPr>
            <w:tcW w:w="3333" w:type="dxa"/>
            <w:vAlign w:val="top"/>
          </w:tcPr>
          <w:p w14:paraId="091BC76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14/18</w:t>
            </w:r>
          </w:p>
        </w:tc>
      </w:tr>
      <w:tr w14:paraId="1B66F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564" w:type="dxa"/>
            <w:vMerge w:val="continue"/>
            <w:tcBorders>
              <w:top w:val="nil"/>
              <w:bottom w:val="single" w:color="auto" w:sz="4" w:space="0"/>
            </w:tcBorders>
            <w:vAlign w:val="top"/>
          </w:tcPr>
          <w:p w14:paraId="167F364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vAlign w:val="top"/>
          </w:tcPr>
          <w:p w14:paraId="7B2B9D5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Minimum Ground Clearance</w:t>
            </w:r>
          </w:p>
        </w:tc>
        <w:tc>
          <w:tcPr>
            <w:tcW w:w="1080" w:type="dxa"/>
            <w:vAlign w:val="top"/>
          </w:tcPr>
          <w:p w14:paraId="4E0DAFD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mm</w:t>
            </w:r>
          </w:p>
        </w:tc>
        <w:tc>
          <w:tcPr>
            <w:tcW w:w="3333" w:type="dxa"/>
            <w:vAlign w:val="top"/>
          </w:tcPr>
          <w:p w14:paraId="33A1179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250</w:t>
            </w:r>
          </w:p>
        </w:tc>
      </w:tr>
      <w:tr w14:paraId="22989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564" w:type="dxa"/>
            <w:vMerge w:val="restart"/>
            <w:tcBorders>
              <w:top w:val="single" w:color="auto" w:sz="4" w:space="0"/>
              <w:left w:val="single" w:color="auto" w:sz="4" w:space="0"/>
              <w:bottom w:val="single" w:color="auto" w:sz="4" w:space="0"/>
              <w:right w:val="single" w:color="auto" w:sz="4" w:space="0"/>
            </w:tcBorders>
            <w:vAlign w:val="top"/>
          </w:tcPr>
          <w:p w14:paraId="6959837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2408DC8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173360F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2EC9988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6ECC92B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63EC19E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1909C33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1E960B7B">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Operation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Performance</w:t>
            </w:r>
          </w:p>
        </w:tc>
        <w:tc>
          <w:tcPr>
            <w:tcW w:w="2623" w:type="dxa"/>
            <w:tcBorders>
              <w:left w:val="single" w:color="auto" w:sz="4" w:space="0"/>
            </w:tcBorders>
            <w:vAlign w:val="top"/>
          </w:tcPr>
          <w:p w14:paraId="1E795FB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Loading Operation Time</w:t>
            </w:r>
          </w:p>
        </w:tc>
        <w:tc>
          <w:tcPr>
            <w:tcW w:w="1080" w:type="dxa"/>
            <w:vAlign w:val="top"/>
          </w:tcPr>
          <w:p w14:paraId="042ADFB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s</w:t>
            </w:r>
          </w:p>
        </w:tc>
        <w:tc>
          <w:tcPr>
            <w:tcW w:w="3333" w:type="dxa"/>
            <w:vAlign w:val="top"/>
          </w:tcPr>
          <w:p w14:paraId="0C6BD0A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≤60</w:t>
            </w:r>
          </w:p>
        </w:tc>
      </w:tr>
      <w:tr w14:paraId="7B5E0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564" w:type="dxa"/>
            <w:vMerge w:val="continue"/>
            <w:tcBorders>
              <w:top w:val="single" w:color="auto" w:sz="4" w:space="0"/>
              <w:left w:val="single" w:color="auto" w:sz="4" w:space="0"/>
              <w:bottom w:val="single" w:color="auto" w:sz="4" w:space="0"/>
              <w:right w:val="single" w:color="auto" w:sz="4" w:space="0"/>
            </w:tcBorders>
            <w:vAlign w:val="top"/>
          </w:tcPr>
          <w:p w14:paraId="685ED0B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tcBorders>
              <w:left w:val="single" w:color="auto" w:sz="4" w:space="0"/>
            </w:tcBorders>
            <w:vAlign w:val="top"/>
          </w:tcPr>
          <w:p w14:paraId="2754700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Uploading Operation Time</w:t>
            </w:r>
          </w:p>
        </w:tc>
        <w:tc>
          <w:tcPr>
            <w:tcW w:w="1080" w:type="dxa"/>
            <w:vAlign w:val="top"/>
          </w:tcPr>
          <w:p w14:paraId="000AF6A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s</w:t>
            </w:r>
          </w:p>
        </w:tc>
        <w:tc>
          <w:tcPr>
            <w:tcW w:w="3333" w:type="dxa"/>
            <w:vAlign w:val="top"/>
          </w:tcPr>
          <w:p w14:paraId="1D8DFB6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≤60</w:t>
            </w:r>
          </w:p>
        </w:tc>
      </w:tr>
      <w:tr w14:paraId="4C920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continue"/>
            <w:tcBorders>
              <w:top w:val="single" w:color="auto" w:sz="4" w:space="0"/>
              <w:left w:val="single" w:color="auto" w:sz="4" w:space="0"/>
              <w:bottom w:val="single" w:color="auto" w:sz="4" w:space="0"/>
              <w:right w:val="single" w:color="auto" w:sz="4" w:space="0"/>
            </w:tcBorders>
            <w:vAlign w:val="top"/>
          </w:tcPr>
          <w:p w14:paraId="76090E2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tcBorders>
              <w:left w:val="single" w:color="auto" w:sz="4" w:space="0"/>
            </w:tcBorders>
            <w:vAlign w:val="top"/>
          </w:tcPr>
          <w:p w14:paraId="40DB663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Discharging Circulation Operation Time</w:t>
            </w:r>
          </w:p>
        </w:tc>
        <w:tc>
          <w:tcPr>
            <w:tcW w:w="1080" w:type="dxa"/>
            <w:vAlign w:val="top"/>
          </w:tcPr>
          <w:p w14:paraId="3EA1CB4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s</w:t>
            </w:r>
          </w:p>
        </w:tc>
        <w:tc>
          <w:tcPr>
            <w:tcW w:w="3333" w:type="dxa"/>
            <w:vAlign w:val="top"/>
          </w:tcPr>
          <w:p w14:paraId="2B2379A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≤110</w:t>
            </w:r>
          </w:p>
        </w:tc>
      </w:tr>
      <w:tr w14:paraId="1A67A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continue"/>
            <w:tcBorders>
              <w:top w:val="single" w:color="auto" w:sz="4" w:space="0"/>
              <w:left w:val="single" w:color="auto" w:sz="4" w:space="0"/>
              <w:bottom w:val="single" w:color="auto" w:sz="4" w:space="0"/>
              <w:right w:val="single" w:color="auto" w:sz="4" w:space="0"/>
            </w:tcBorders>
            <w:vAlign w:val="top"/>
          </w:tcPr>
          <w:p w14:paraId="54CF09F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tcBorders>
              <w:left w:val="single" w:color="auto" w:sz="4" w:space="0"/>
            </w:tcBorders>
            <w:vAlign w:val="top"/>
          </w:tcPr>
          <w:p w14:paraId="7B0AD5A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Dumping Angle</w:t>
            </w:r>
          </w:p>
        </w:tc>
        <w:tc>
          <w:tcPr>
            <w:tcW w:w="1080" w:type="dxa"/>
            <w:vAlign w:val="top"/>
          </w:tcPr>
          <w:p w14:paraId="59CA7CD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t>
            </w:r>
          </w:p>
        </w:tc>
        <w:tc>
          <w:tcPr>
            <w:tcW w:w="3333" w:type="dxa"/>
            <w:vAlign w:val="top"/>
          </w:tcPr>
          <w:p w14:paraId="2272983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50</w:t>
            </w:r>
          </w:p>
        </w:tc>
      </w:tr>
      <w:tr w14:paraId="6AF1B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continue"/>
            <w:tcBorders>
              <w:top w:val="single" w:color="auto" w:sz="4" w:space="0"/>
              <w:left w:val="single" w:color="auto" w:sz="4" w:space="0"/>
              <w:bottom w:val="single" w:color="auto" w:sz="4" w:space="0"/>
              <w:right w:val="single" w:color="auto" w:sz="4" w:space="0"/>
            </w:tcBorders>
            <w:vAlign w:val="top"/>
          </w:tcPr>
          <w:p w14:paraId="50D9D4D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tcBorders>
              <w:left w:val="single" w:color="auto" w:sz="4" w:space="0"/>
            </w:tcBorders>
            <w:vAlign w:val="top"/>
          </w:tcPr>
          <w:p w14:paraId="7E19299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Hook height</w:t>
            </w:r>
          </w:p>
        </w:tc>
        <w:tc>
          <w:tcPr>
            <w:tcW w:w="1080" w:type="dxa"/>
            <w:vAlign w:val="top"/>
          </w:tcPr>
          <w:p w14:paraId="6743CBF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mm</w:t>
            </w:r>
          </w:p>
        </w:tc>
        <w:tc>
          <w:tcPr>
            <w:tcW w:w="3333" w:type="dxa"/>
            <w:vAlign w:val="top"/>
          </w:tcPr>
          <w:p w14:paraId="2B8E282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1570</w:t>
            </w:r>
          </w:p>
        </w:tc>
      </w:tr>
      <w:tr w14:paraId="18136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continue"/>
            <w:tcBorders>
              <w:top w:val="single" w:color="auto" w:sz="4" w:space="0"/>
              <w:left w:val="single" w:color="auto" w:sz="4" w:space="0"/>
              <w:bottom w:val="single" w:color="auto" w:sz="4" w:space="0"/>
              <w:right w:val="single" w:color="auto" w:sz="4" w:space="0"/>
            </w:tcBorders>
            <w:vAlign w:val="top"/>
          </w:tcPr>
          <w:p w14:paraId="303AC3D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tcBorders>
              <w:left w:val="single" w:color="auto" w:sz="4" w:space="0"/>
            </w:tcBorders>
            <w:vAlign w:val="top"/>
          </w:tcPr>
          <w:p w14:paraId="566884D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External Import Width</w:t>
            </w:r>
          </w:p>
        </w:tc>
        <w:tc>
          <w:tcPr>
            <w:tcW w:w="1080" w:type="dxa"/>
            <w:vAlign w:val="top"/>
          </w:tcPr>
          <w:p w14:paraId="1A7BDDD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mm</w:t>
            </w:r>
          </w:p>
        </w:tc>
        <w:tc>
          <w:tcPr>
            <w:tcW w:w="3333" w:type="dxa"/>
            <w:vAlign w:val="top"/>
          </w:tcPr>
          <w:p w14:paraId="50E602A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1070</w:t>
            </w:r>
          </w:p>
        </w:tc>
      </w:tr>
      <w:tr w14:paraId="3CAEC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continue"/>
            <w:tcBorders>
              <w:top w:val="single" w:color="auto" w:sz="4" w:space="0"/>
              <w:left w:val="single" w:color="auto" w:sz="4" w:space="0"/>
              <w:bottom w:val="single" w:color="auto" w:sz="4" w:space="0"/>
              <w:right w:val="single" w:color="auto" w:sz="4" w:space="0"/>
            </w:tcBorders>
            <w:vAlign w:val="top"/>
          </w:tcPr>
          <w:p w14:paraId="4727976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tcBorders>
              <w:left w:val="single" w:color="auto" w:sz="4" w:space="0"/>
            </w:tcBorders>
            <w:vAlign w:val="top"/>
          </w:tcPr>
          <w:p w14:paraId="7ABE389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Sliding Arm </w:t>
            </w:r>
            <w:r>
              <w:rPr>
                <w:rFonts w:hint="eastAsia" w:ascii="Times New Roman" w:hAnsi="Times New Roman" w:cs="Times New Roman"/>
                <w:sz w:val="24"/>
                <w:szCs w:val="24"/>
                <w:lang w:val="en-US" w:eastAsia="zh-CN"/>
              </w:rPr>
              <w:t>H</w:t>
            </w:r>
            <w:r>
              <w:rPr>
                <w:rFonts w:hint="default" w:ascii="Times New Roman" w:hAnsi="Times New Roman" w:cs="Times New Roman"/>
                <w:sz w:val="24"/>
                <w:szCs w:val="24"/>
                <w:lang w:val="en-US" w:eastAsia="zh-CN"/>
              </w:rPr>
              <w:t xml:space="preserve">orizontal </w:t>
            </w:r>
            <w:r>
              <w:rPr>
                <w:rFonts w:hint="eastAsia" w:ascii="Times New Roman" w:hAnsi="Times New Roman" w:cs="Times New Roman"/>
                <w:sz w:val="24"/>
                <w:szCs w:val="24"/>
                <w:lang w:val="en-US" w:eastAsia="zh-CN"/>
              </w:rPr>
              <w:t>S</w:t>
            </w:r>
            <w:r>
              <w:rPr>
                <w:rFonts w:hint="default" w:ascii="Times New Roman" w:hAnsi="Times New Roman" w:cs="Times New Roman"/>
                <w:sz w:val="24"/>
                <w:szCs w:val="24"/>
                <w:lang w:val="en-US" w:eastAsia="zh-CN"/>
              </w:rPr>
              <w:t xml:space="preserve">hift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lang w:val="en-US" w:eastAsia="zh-CN"/>
              </w:rPr>
              <w:t>istance</w:t>
            </w:r>
          </w:p>
        </w:tc>
        <w:tc>
          <w:tcPr>
            <w:tcW w:w="1080" w:type="dxa"/>
            <w:vAlign w:val="top"/>
          </w:tcPr>
          <w:p w14:paraId="296810A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mm</w:t>
            </w:r>
          </w:p>
        </w:tc>
        <w:tc>
          <w:tcPr>
            <w:tcW w:w="3333" w:type="dxa"/>
            <w:vAlign w:val="top"/>
          </w:tcPr>
          <w:p w14:paraId="32470B5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1100</w:t>
            </w:r>
          </w:p>
        </w:tc>
      </w:tr>
      <w:tr w14:paraId="374C9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continue"/>
            <w:tcBorders>
              <w:top w:val="single" w:color="auto" w:sz="4" w:space="0"/>
              <w:left w:val="single" w:color="auto" w:sz="4" w:space="0"/>
              <w:bottom w:val="single" w:color="auto" w:sz="4" w:space="0"/>
              <w:right w:val="single" w:color="auto" w:sz="4" w:space="0"/>
            </w:tcBorders>
            <w:vAlign w:val="top"/>
          </w:tcPr>
          <w:p w14:paraId="4E0E760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tcBorders>
              <w:left w:val="single" w:color="auto" w:sz="4" w:space="0"/>
            </w:tcBorders>
            <w:vAlign w:val="top"/>
          </w:tcPr>
          <w:p w14:paraId="0AB2A13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Rated Lifting Capacity</w:t>
            </w:r>
          </w:p>
        </w:tc>
        <w:tc>
          <w:tcPr>
            <w:tcW w:w="1080" w:type="dxa"/>
            <w:vAlign w:val="top"/>
          </w:tcPr>
          <w:p w14:paraId="486446E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w:t>
            </w:r>
          </w:p>
        </w:tc>
        <w:tc>
          <w:tcPr>
            <w:tcW w:w="3333" w:type="dxa"/>
            <w:vAlign w:val="top"/>
          </w:tcPr>
          <w:p w14:paraId="32FE2C6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20/22/26</w:t>
            </w:r>
          </w:p>
        </w:tc>
      </w:tr>
      <w:tr w14:paraId="420B1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4" w:hRule="atLeast"/>
        </w:trPr>
        <w:tc>
          <w:tcPr>
            <w:tcW w:w="1564" w:type="dxa"/>
            <w:vMerge w:val="continue"/>
            <w:tcBorders>
              <w:top w:val="single" w:color="auto" w:sz="4" w:space="0"/>
              <w:left w:val="single" w:color="auto" w:sz="4" w:space="0"/>
              <w:bottom w:val="single" w:color="auto" w:sz="4" w:space="0"/>
              <w:right w:val="single" w:color="auto" w:sz="4" w:space="0"/>
            </w:tcBorders>
            <w:vAlign w:val="top"/>
          </w:tcPr>
          <w:p w14:paraId="02D8896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tcBorders>
              <w:left w:val="single" w:color="auto" w:sz="4" w:space="0"/>
            </w:tcBorders>
            <w:vAlign w:val="top"/>
          </w:tcPr>
          <w:p w14:paraId="7AC844C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Upper Structure Hydraulic System Pressure</w:t>
            </w:r>
          </w:p>
        </w:tc>
        <w:tc>
          <w:tcPr>
            <w:tcW w:w="1080" w:type="dxa"/>
            <w:vAlign w:val="top"/>
          </w:tcPr>
          <w:p w14:paraId="734B2DB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MPa</w:t>
            </w:r>
          </w:p>
        </w:tc>
        <w:tc>
          <w:tcPr>
            <w:tcW w:w="3333" w:type="dxa"/>
            <w:vAlign w:val="top"/>
          </w:tcPr>
          <w:p w14:paraId="5FEE6B4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30</w:t>
            </w:r>
          </w:p>
        </w:tc>
      </w:tr>
      <w:tr w14:paraId="79A36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continue"/>
            <w:tcBorders>
              <w:top w:val="single" w:color="auto" w:sz="4" w:space="0"/>
              <w:left w:val="single" w:color="auto" w:sz="4" w:space="0"/>
              <w:bottom w:val="single" w:color="auto" w:sz="4" w:space="0"/>
              <w:right w:val="single" w:color="auto" w:sz="4" w:space="0"/>
            </w:tcBorders>
            <w:vAlign w:val="top"/>
          </w:tcPr>
          <w:p w14:paraId="5EA0EB9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tcBorders>
              <w:left w:val="single" w:color="auto" w:sz="4" w:space="0"/>
            </w:tcBorders>
            <w:vAlign w:val="top"/>
          </w:tcPr>
          <w:p w14:paraId="47D2DA1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Rear Support Method</w:t>
            </w:r>
          </w:p>
        </w:tc>
        <w:tc>
          <w:tcPr>
            <w:tcW w:w="1080" w:type="dxa"/>
            <w:vAlign w:val="top"/>
          </w:tcPr>
          <w:p w14:paraId="7FCA9A9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t>
            </w:r>
          </w:p>
        </w:tc>
        <w:tc>
          <w:tcPr>
            <w:tcW w:w="3333" w:type="dxa"/>
            <w:vAlign w:val="top"/>
          </w:tcPr>
          <w:p w14:paraId="065349B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Rear roller support</w:t>
            </w:r>
          </w:p>
        </w:tc>
      </w:tr>
      <w:tr w14:paraId="07521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restart"/>
            <w:tcBorders>
              <w:top w:val="single" w:color="auto" w:sz="4" w:space="0"/>
              <w:left w:val="single" w:color="auto" w:sz="4" w:space="0"/>
              <w:bottom w:val="single" w:color="auto" w:sz="4" w:space="0"/>
              <w:right w:val="single" w:color="auto" w:sz="4" w:space="0"/>
            </w:tcBorders>
            <w:vAlign w:val="top"/>
          </w:tcPr>
          <w:p w14:paraId="438D6FB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cs="Times New Roman"/>
                <w:sz w:val="24"/>
                <w:szCs w:val="24"/>
                <w:lang w:val="en-US" w:eastAsia="zh-CN"/>
              </w:rPr>
            </w:pPr>
          </w:p>
          <w:p w14:paraId="03BC7D5B">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Drive Performance</w:t>
            </w:r>
          </w:p>
        </w:tc>
        <w:tc>
          <w:tcPr>
            <w:tcW w:w="2623" w:type="dxa"/>
            <w:tcBorders>
              <w:left w:val="single" w:color="auto" w:sz="4" w:space="0"/>
            </w:tcBorders>
            <w:vAlign w:val="top"/>
          </w:tcPr>
          <w:p w14:paraId="410108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Maximum Speed</w:t>
            </w:r>
          </w:p>
        </w:tc>
        <w:tc>
          <w:tcPr>
            <w:tcW w:w="1080" w:type="dxa"/>
            <w:vAlign w:val="top"/>
          </w:tcPr>
          <w:p w14:paraId="0BAB15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km/h</w:t>
            </w:r>
          </w:p>
        </w:tc>
        <w:tc>
          <w:tcPr>
            <w:tcW w:w="3333" w:type="dxa"/>
            <w:vAlign w:val="top"/>
          </w:tcPr>
          <w:p w14:paraId="70566EF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89</w:t>
            </w:r>
          </w:p>
        </w:tc>
      </w:tr>
      <w:tr w14:paraId="395D8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continue"/>
            <w:tcBorders>
              <w:top w:val="single" w:color="auto" w:sz="4" w:space="0"/>
              <w:left w:val="single" w:color="auto" w:sz="4" w:space="0"/>
              <w:bottom w:val="single" w:color="auto" w:sz="4" w:space="0"/>
              <w:right w:val="single" w:color="auto" w:sz="4" w:space="0"/>
            </w:tcBorders>
            <w:vAlign w:val="top"/>
          </w:tcPr>
          <w:p w14:paraId="1958472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tcBorders>
              <w:left w:val="single" w:color="auto" w:sz="4" w:space="0"/>
            </w:tcBorders>
            <w:vAlign w:val="top"/>
          </w:tcPr>
          <w:p w14:paraId="7C5F881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Maximum Slope Angle</w:t>
            </w:r>
          </w:p>
        </w:tc>
        <w:tc>
          <w:tcPr>
            <w:tcW w:w="1080" w:type="dxa"/>
            <w:vAlign w:val="top"/>
          </w:tcPr>
          <w:p w14:paraId="5930ADC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t>
            </w:r>
          </w:p>
        </w:tc>
        <w:tc>
          <w:tcPr>
            <w:tcW w:w="3333" w:type="dxa"/>
            <w:vAlign w:val="top"/>
          </w:tcPr>
          <w:p w14:paraId="5A9A7D4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30</w:t>
            </w:r>
          </w:p>
        </w:tc>
      </w:tr>
      <w:tr w14:paraId="18848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continue"/>
            <w:tcBorders>
              <w:top w:val="single" w:color="auto" w:sz="4" w:space="0"/>
              <w:left w:val="single" w:color="auto" w:sz="4" w:space="0"/>
              <w:bottom w:val="single" w:color="auto" w:sz="4" w:space="0"/>
              <w:right w:val="single" w:color="auto" w:sz="4" w:space="0"/>
            </w:tcBorders>
            <w:vAlign w:val="top"/>
          </w:tcPr>
          <w:p w14:paraId="1692041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tcBorders>
              <w:left w:val="single" w:color="auto" w:sz="4" w:space="0"/>
            </w:tcBorders>
            <w:vAlign w:val="top"/>
          </w:tcPr>
          <w:p w14:paraId="01D9415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Minimum Turning Diameter</w:t>
            </w:r>
          </w:p>
        </w:tc>
        <w:tc>
          <w:tcPr>
            <w:tcW w:w="1080" w:type="dxa"/>
            <w:vAlign w:val="top"/>
          </w:tcPr>
          <w:p w14:paraId="4F47642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w:t>
            </w:r>
          </w:p>
        </w:tc>
        <w:tc>
          <w:tcPr>
            <w:tcW w:w="3333" w:type="dxa"/>
            <w:vAlign w:val="top"/>
          </w:tcPr>
          <w:p w14:paraId="0A9D956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24</w:t>
            </w:r>
          </w:p>
        </w:tc>
      </w:tr>
      <w:tr w14:paraId="65F35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restart"/>
            <w:tcBorders>
              <w:top w:val="single" w:color="auto" w:sz="4" w:space="0"/>
              <w:bottom w:val="single" w:color="auto" w:sz="4" w:space="0"/>
            </w:tcBorders>
            <w:vAlign w:val="top"/>
          </w:tcPr>
          <w:p w14:paraId="4B4C18E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621CB19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26C28C2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1FA80EA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30640CF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333F29F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08C78CB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3DD7C8C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p w14:paraId="0DDA887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Chassis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Parameter</w:t>
            </w:r>
          </w:p>
        </w:tc>
        <w:tc>
          <w:tcPr>
            <w:tcW w:w="2623" w:type="dxa"/>
            <w:vAlign w:val="top"/>
          </w:tcPr>
          <w:p w14:paraId="0BFB782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Chassis Model, Type, Manufacturer</w:t>
            </w:r>
          </w:p>
        </w:tc>
        <w:tc>
          <w:tcPr>
            <w:tcW w:w="4413" w:type="dxa"/>
            <w:gridSpan w:val="2"/>
            <w:vAlign w:val="top"/>
          </w:tcPr>
          <w:p w14:paraId="26B35EC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BYD1310C2BEVC5</w:t>
            </w:r>
          </w:p>
          <w:p w14:paraId="457CDD2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Class II Chassis</w:t>
            </w:r>
          </w:p>
          <w:p w14:paraId="5EAEDE3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BYD Auto Industry Co Ltd</w:t>
            </w:r>
          </w:p>
        </w:tc>
      </w:tr>
      <w:tr w14:paraId="21E3C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continue"/>
            <w:tcBorders>
              <w:top w:val="single" w:color="auto" w:sz="4" w:space="0"/>
              <w:bottom w:val="single" w:color="auto" w:sz="4" w:space="0"/>
            </w:tcBorders>
            <w:textDirection w:val="tbRlV"/>
            <w:vAlign w:val="top"/>
          </w:tcPr>
          <w:p w14:paraId="5C9D79F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vAlign w:val="top"/>
          </w:tcPr>
          <w:p w14:paraId="2E7320B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Drive motor model, type and manufacturer</w:t>
            </w:r>
          </w:p>
        </w:tc>
        <w:tc>
          <w:tcPr>
            <w:tcW w:w="4413" w:type="dxa"/>
            <w:gridSpan w:val="2"/>
            <w:vAlign w:val="top"/>
          </w:tcPr>
          <w:p w14:paraId="0429574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TZ365XSD1 Permanent Magnet Synchronous Motor</w:t>
            </w:r>
          </w:p>
          <w:p w14:paraId="1551333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BYD Auto Industry Co Ltd</w:t>
            </w:r>
          </w:p>
        </w:tc>
      </w:tr>
      <w:tr w14:paraId="0279F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continue"/>
            <w:tcBorders>
              <w:top w:val="single" w:color="auto" w:sz="4" w:space="0"/>
              <w:bottom w:val="single" w:color="auto" w:sz="4" w:space="0"/>
            </w:tcBorders>
            <w:textDirection w:val="tbRlV"/>
            <w:vAlign w:val="top"/>
          </w:tcPr>
          <w:p w14:paraId="4E5E891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vAlign w:val="top"/>
          </w:tcPr>
          <w:p w14:paraId="3F404AB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Rated Power/Speed/Torque</w:t>
            </w:r>
          </w:p>
          <w:p w14:paraId="2EC4BF1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（kW/r/min/N.m）</w:t>
            </w:r>
          </w:p>
        </w:tc>
        <w:tc>
          <w:tcPr>
            <w:tcW w:w="4413" w:type="dxa"/>
            <w:gridSpan w:val="2"/>
            <w:vAlign w:val="top"/>
          </w:tcPr>
          <w:p w14:paraId="2953627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250/1705/1400</w:t>
            </w:r>
          </w:p>
        </w:tc>
      </w:tr>
      <w:tr w14:paraId="7F35D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continue"/>
            <w:tcBorders>
              <w:top w:val="single" w:color="auto" w:sz="4" w:space="0"/>
              <w:bottom w:val="single" w:color="auto" w:sz="4" w:space="0"/>
            </w:tcBorders>
            <w:textDirection w:val="tbRlV"/>
            <w:vAlign w:val="top"/>
          </w:tcPr>
          <w:p w14:paraId="284C2A5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vAlign w:val="top"/>
          </w:tcPr>
          <w:p w14:paraId="57C87E9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Peak Power/Speed/Torque</w:t>
            </w:r>
          </w:p>
          <w:p w14:paraId="3DE7444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（kW/r/min/N.m）</w:t>
            </w:r>
          </w:p>
        </w:tc>
        <w:tc>
          <w:tcPr>
            <w:tcW w:w="4413" w:type="dxa"/>
            <w:gridSpan w:val="2"/>
            <w:vAlign w:val="top"/>
          </w:tcPr>
          <w:p w14:paraId="316D42F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370/3300/2500</w:t>
            </w:r>
          </w:p>
        </w:tc>
      </w:tr>
      <w:tr w14:paraId="1059B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continue"/>
            <w:tcBorders>
              <w:top w:val="single" w:color="auto" w:sz="4" w:space="0"/>
              <w:bottom w:val="single" w:color="auto" w:sz="4" w:space="0"/>
            </w:tcBorders>
            <w:textDirection w:val="tbRlV"/>
            <w:vAlign w:val="top"/>
          </w:tcPr>
          <w:p w14:paraId="1164D0F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vAlign w:val="top"/>
          </w:tcPr>
          <w:p w14:paraId="58954D0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Drive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Motor Controller Model, Manufacturer</w:t>
            </w:r>
          </w:p>
        </w:tc>
        <w:tc>
          <w:tcPr>
            <w:tcW w:w="4413" w:type="dxa"/>
            <w:gridSpan w:val="2"/>
            <w:vAlign w:val="top"/>
          </w:tcPr>
          <w:p w14:paraId="0D99EB8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KTZ64X44S6AB</w:t>
            </w:r>
          </w:p>
          <w:p w14:paraId="03FEDA3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"https://www.bloomberg.com/profile/company/HIAJTZ:CH" </w:instrText>
            </w:r>
            <w:r>
              <w:rPr>
                <w:rFonts w:hint="default" w:ascii="Times New Roman" w:hAnsi="Times New Roman" w:cs="Times New Roman"/>
                <w:sz w:val="24"/>
                <w:szCs w:val="24"/>
                <w:lang w:val="en-US" w:eastAsia="zh-CN"/>
              </w:rPr>
              <w:fldChar w:fldCharType="separate"/>
            </w:r>
          </w:p>
          <w:p w14:paraId="06549AC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BYD Auto Industry Co Ltd</w:t>
            </w:r>
            <w:r>
              <w:rPr>
                <w:rFonts w:hint="default" w:ascii="Times New Roman" w:hAnsi="Times New Roman" w:cs="Times New Roman"/>
                <w:sz w:val="24"/>
                <w:szCs w:val="24"/>
                <w:lang w:val="en-US" w:eastAsia="zh-CN"/>
              </w:rPr>
              <w:fldChar w:fldCharType="end"/>
            </w:r>
          </w:p>
          <w:p w14:paraId="64D2474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r>
      <w:tr w14:paraId="59B0E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continue"/>
            <w:tcBorders>
              <w:top w:val="single" w:color="auto" w:sz="4" w:space="0"/>
              <w:bottom w:val="single" w:color="auto" w:sz="4" w:space="0"/>
            </w:tcBorders>
            <w:textDirection w:val="tbRlV"/>
            <w:vAlign w:val="top"/>
          </w:tcPr>
          <w:p w14:paraId="19CF767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vAlign w:val="top"/>
          </w:tcPr>
          <w:p w14:paraId="6236BA9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Battery Model</w:t>
            </w:r>
          </w:p>
        </w:tc>
        <w:tc>
          <w:tcPr>
            <w:tcW w:w="4413" w:type="dxa"/>
            <w:gridSpan w:val="2"/>
            <w:vAlign w:val="top"/>
          </w:tcPr>
          <w:p w14:paraId="2445E80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B32/B22 Lithium Iron Phosphate Battery</w:t>
            </w:r>
          </w:p>
        </w:tc>
      </w:tr>
      <w:tr w14:paraId="3205D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continue"/>
            <w:tcBorders>
              <w:top w:val="single" w:color="auto" w:sz="4" w:space="0"/>
              <w:bottom w:val="single" w:color="auto" w:sz="4" w:space="0"/>
            </w:tcBorders>
            <w:textDirection w:val="tbRlV"/>
            <w:vAlign w:val="top"/>
          </w:tcPr>
          <w:p w14:paraId="11769B3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vAlign w:val="top"/>
          </w:tcPr>
          <w:p w14:paraId="465D9B3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Battery Storage </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kWh</w:t>
            </w:r>
            <w:r>
              <w:rPr>
                <w:rFonts w:hint="eastAsia" w:ascii="Times New Roman" w:hAnsi="Times New Roman" w:cs="Times New Roman"/>
                <w:sz w:val="24"/>
                <w:szCs w:val="24"/>
                <w:lang w:val="en-US" w:eastAsia="zh-CN"/>
              </w:rPr>
              <w:t>)</w:t>
            </w:r>
          </w:p>
        </w:tc>
        <w:tc>
          <w:tcPr>
            <w:tcW w:w="4413" w:type="dxa"/>
            <w:gridSpan w:val="2"/>
            <w:vAlign w:val="top"/>
          </w:tcPr>
          <w:p w14:paraId="140040B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348.47</w:t>
            </w:r>
          </w:p>
        </w:tc>
      </w:tr>
      <w:tr w14:paraId="59472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continue"/>
            <w:tcBorders>
              <w:top w:val="single" w:color="auto" w:sz="4" w:space="0"/>
              <w:bottom w:val="single" w:color="auto" w:sz="4" w:space="0"/>
            </w:tcBorders>
            <w:textDirection w:val="tbRlV"/>
            <w:vAlign w:val="top"/>
          </w:tcPr>
          <w:p w14:paraId="65EDE42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vAlign w:val="top"/>
          </w:tcPr>
          <w:p w14:paraId="20229CA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Voltage </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V</w:t>
            </w:r>
            <w:r>
              <w:rPr>
                <w:rFonts w:hint="eastAsia" w:ascii="Times New Roman" w:hAnsi="Times New Roman" w:cs="Times New Roman"/>
                <w:sz w:val="24"/>
                <w:szCs w:val="24"/>
                <w:lang w:val="en-US" w:eastAsia="zh-CN"/>
              </w:rPr>
              <w:t>)</w:t>
            </w:r>
          </w:p>
        </w:tc>
        <w:tc>
          <w:tcPr>
            <w:tcW w:w="4413" w:type="dxa"/>
            <w:gridSpan w:val="2"/>
            <w:vAlign w:val="top"/>
          </w:tcPr>
          <w:p w14:paraId="578932F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524.8</w:t>
            </w:r>
          </w:p>
        </w:tc>
      </w:tr>
      <w:tr w14:paraId="66538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564" w:type="dxa"/>
            <w:vMerge w:val="continue"/>
            <w:tcBorders>
              <w:top w:val="single" w:color="auto" w:sz="4" w:space="0"/>
              <w:bottom w:val="single" w:color="auto" w:sz="4" w:space="0"/>
            </w:tcBorders>
            <w:textDirection w:val="tbRlV"/>
            <w:vAlign w:val="top"/>
          </w:tcPr>
          <w:p w14:paraId="5A1C8C7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p>
        </w:tc>
        <w:tc>
          <w:tcPr>
            <w:tcW w:w="2623" w:type="dxa"/>
            <w:vAlign w:val="top"/>
          </w:tcPr>
          <w:p w14:paraId="2E24BDD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Driving Range </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km</w:t>
            </w:r>
            <w:r>
              <w:rPr>
                <w:rFonts w:hint="eastAsia" w:ascii="Times New Roman" w:hAnsi="Times New Roman" w:cs="Times New Roman"/>
                <w:sz w:val="24"/>
                <w:szCs w:val="24"/>
                <w:lang w:val="en-US" w:eastAsia="zh-CN"/>
              </w:rPr>
              <w:t>)</w:t>
            </w:r>
          </w:p>
        </w:tc>
        <w:tc>
          <w:tcPr>
            <w:tcW w:w="4413" w:type="dxa"/>
            <w:gridSpan w:val="2"/>
            <w:vAlign w:val="top"/>
          </w:tcPr>
          <w:p w14:paraId="3B4E0E0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330</w:t>
            </w:r>
          </w:p>
        </w:tc>
      </w:tr>
    </w:tbl>
    <w:p w14:paraId="063AC50D">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default" w:ascii="Times New Roman" w:hAnsi="Times New Roman" w:cs="Times New Roman"/>
          <w:b/>
          <w:bCs/>
          <w:sz w:val="28"/>
          <w:szCs w:val="28"/>
          <w:lang w:val="en-US" w:eastAsia="zh-CN"/>
        </w:rPr>
      </w:pPr>
    </w:p>
    <w:p w14:paraId="209FA9DD">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六、Product advantage</w:t>
      </w:r>
    </w:p>
    <w:p w14:paraId="03D37E3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lang w:val="en-US" w:eastAsia="zh-CN"/>
        </w:rPr>
      </w:pPr>
      <w:r>
        <w:rPr>
          <w:rFonts w:hint="default" w:ascii="Times New Roman" w:hAnsi="Times New Roman" w:cs="Times New Roman"/>
          <w:sz w:val="28"/>
          <w:szCs w:val="28"/>
        </w:rPr>
        <w:t xml:space="preserve">1. </w:t>
      </w:r>
      <w:r>
        <w:rPr>
          <w:rFonts w:hint="default" w:ascii="Times New Roman" w:hAnsi="Times New Roman" w:cs="Times New Roman"/>
          <w:sz w:val="28"/>
          <w:szCs w:val="28"/>
          <w:lang w:val="en-US" w:eastAsia="zh-CN"/>
        </w:rPr>
        <w:t xml:space="preserve">Outstanding Performance </w:t>
      </w:r>
    </w:p>
    <w:p w14:paraId="4C2F42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cs="Times New Roman"/>
          <w:sz w:val="24"/>
          <w:szCs w:val="24"/>
          <w:lang w:val="en-US" w:eastAsia="zh-CN"/>
        </w:rPr>
      </w:pPr>
      <w:r>
        <w:rPr>
          <w:rFonts w:hint="default" w:ascii="Times New Roman" w:hAnsi="Times New Roman" w:eastAsia="Segoe UI Emoji" w:cs="Times New Roman"/>
          <w:i w:val="0"/>
          <w:iCs w:val="0"/>
          <w:caps w:val="0"/>
          <w:spacing w:val="0"/>
          <w:sz w:val="24"/>
          <w:szCs w:val="24"/>
        </w:rPr>
        <w:t>The arm pull structural parts are made of high-strength steel, and high-strength precision castings are adopted for key positions (the positions shown in the following four figures) to enhance safety and extend service life.</w:t>
      </w:r>
    </w:p>
    <w:p w14:paraId="4BB6148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eastAsia="宋体"/>
          <w:position w:val="-73"/>
          <w:lang w:val="en-US" w:eastAsia="zh-CN"/>
        </w:rPr>
      </w:pPr>
      <w:r>
        <w:drawing>
          <wp:inline distT="0" distB="0" distL="114300" distR="114300">
            <wp:extent cx="2529205" cy="2197100"/>
            <wp:effectExtent l="0" t="0" r="4445" b="12700"/>
            <wp:docPr id="2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0"/>
                    <pic:cNvPicPr>
                      <a:picLocks noChangeAspect="1"/>
                    </pic:cNvPicPr>
                  </pic:nvPicPr>
                  <pic:blipFill>
                    <a:blip r:embed="rId15"/>
                    <a:stretch>
                      <a:fillRect/>
                    </a:stretch>
                  </pic:blipFill>
                  <pic:spPr>
                    <a:xfrm>
                      <a:off x="0" y="0"/>
                      <a:ext cx="2529205" cy="2197100"/>
                    </a:xfrm>
                    <a:prstGeom prst="rect">
                      <a:avLst/>
                    </a:prstGeom>
                    <a:noFill/>
                    <a:ln>
                      <a:noFill/>
                    </a:ln>
                  </pic:spPr>
                </pic:pic>
              </a:graphicData>
            </a:graphic>
          </wp:inline>
        </w:drawing>
      </w:r>
      <w:r>
        <w:rPr>
          <w:rFonts w:hint="eastAsia" w:eastAsia="宋体"/>
          <w:lang w:val="en-US" w:eastAsia="zh-CN"/>
        </w:rPr>
        <w:t xml:space="preserve"> </w:t>
      </w:r>
      <w:r>
        <w:drawing>
          <wp:inline distT="0" distB="0" distL="114300" distR="114300">
            <wp:extent cx="2198370" cy="2198370"/>
            <wp:effectExtent l="0" t="0" r="11430" b="11430"/>
            <wp:docPr id="3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1"/>
                    <pic:cNvPicPr>
                      <a:picLocks noChangeAspect="1"/>
                    </pic:cNvPicPr>
                  </pic:nvPicPr>
                  <pic:blipFill>
                    <a:blip r:embed="rId16"/>
                    <a:stretch>
                      <a:fillRect/>
                    </a:stretch>
                  </pic:blipFill>
                  <pic:spPr>
                    <a:xfrm>
                      <a:off x="0" y="0"/>
                      <a:ext cx="2198370" cy="2198370"/>
                    </a:xfrm>
                    <a:prstGeom prst="rect">
                      <a:avLst/>
                    </a:prstGeom>
                    <a:noFill/>
                    <a:ln>
                      <a:noFill/>
                    </a:ln>
                  </pic:spPr>
                </pic:pic>
              </a:graphicData>
            </a:graphic>
          </wp:inline>
        </w:drawing>
      </w:r>
      <w:r>
        <w:rPr>
          <w:rFonts w:hint="eastAsia" w:eastAsia="宋体"/>
          <w:position w:val="-73"/>
          <w:lang w:val="en-US" w:eastAsia="zh-CN"/>
        </w:rPr>
        <w:t xml:space="preserve">  </w:t>
      </w:r>
    </w:p>
    <w:p w14:paraId="089042F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Arial" w:hAnsi="Arial" w:eastAsia="Arial" w:cs="Arial"/>
          <w:snapToGrid w:val="0"/>
          <w:color w:val="000000"/>
          <w:kern w:val="0"/>
          <w:sz w:val="21"/>
          <w:szCs w:val="21"/>
          <w:lang w:val="en-US" w:eastAsia="zh-CN" w:bidi="ar-SA"/>
        </w:rPr>
      </w:pPr>
      <w:r>
        <w:rPr>
          <w:rFonts w:hint="default" w:ascii="Times New Roman" w:hAnsi="Times New Roman" w:cs="Times New Roman"/>
          <w:sz w:val="24"/>
          <w:szCs w:val="24"/>
          <w:lang w:val="en-US" w:eastAsia="zh-CN"/>
        </w:rPr>
        <w:t>Right angle of the front frame</w:t>
      </w:r>
      <w:r>
        <w:rPr>
          <w:rFonts w:hint="eastAsia" w:ascii="Times New Roman" w:hAnsi="Times New Roman" w:cs="Times New Roman"/>
          <w:sz w:val="24"/>
          <w:szCs w:val="24"/>
          <w:lang w:val="en-US" w:eastAsia="zh-CN"/>
        </w:rPr>
        <w:t xml:space="preserve">                 Hook ring area</w:t>
      </w:r>
    </w:p>
    <w:p w14:paraId="5BF1B63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Arial" w:hAnsi="Arial" w:cs="Arial"/>
          <w:sz w:val="28"/>
          <w:szCs w:val="28"/>
          <w:lang w:val="en-US" w:eastAsia="zh-CN"/>
        </w:rPr>
      </w:pPr>
      <w:r>
        <w:rPr>
          <w:rFonts w:hint="eastAsia" w:ascii="Arial" w:hAnsi="Arial" w:cs="Arial"/>
          <w:sz w:val="28"/>
          <w:szCs w:val="28"/>
          <w:lang w:val="en-US" w:eastAsia="zh-CN"/>
        </w:rPr>
        <w:drawing>
          <wp:inline distT="0" distB="0" distL="0" distR="0">
            <wp:extent cx="2315210" cy="1969770"/>
            <wp:effectExtent l="0" t="0" r="8890" b="1143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7"/>
                    <a:stretch>
                      <a:fillRect/>
                    </a:stretch>
                  </pic:blipFill>
                  <pic:spPr>
                    <a:xfrm>
                      <a:off x="0" y="0"/>
                      <a:ext cx="2315210" cy="1969770"/>
                    </a:xfrm>
                    <a:prstGeom prst="rect">
                      <a:avLst/>
                    </a:prstGeom>
                  </pic:spPr>
                </pic:pic>
              </a:graphicData>
            </a:graphic>
          </wp:inline>
        </w:drawing>
      </w:r>
      <w:r>
        <w:rPr>
          <w:rFonts w:hint="eastAsia" w:cs="Arial"/>
          <w:sz w:val="28"/>
          <w:szCs w:val="28"/>
          <w:lang w:val="en-US" w:eastAsia="zh-CN"/>
        </w:rPr>
        <w:t xml:space="preserve"> </w:t>
      </w:r>
      <w:r>
        <w:drawing>
          <wp:inline distT="0" distB="0" distL="114300" distR="114300">
            <wp:extent cx="2139315" cy="2023110"/>
            <wp:effectExtent l="0" t="0" r="13335" b="15240"/>
            <wp:docPr id="2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8"/>
                    <pic:cNvPicPr>
                      <a:picLocks noChangeAspect="1"/>
                    </pic:cNvPicPr>
                  </pic:nvPicPr>
                  <pic:blipFill>
                    <a:blip r:embed="rId18"/>
                    <a:stretch>
                      <a:fillRect/>
                    </a:stretch>
                  </pic:blipFill>
                  <pic:spPr>
                    <a:xfrm>
                      <a:off x="0" y="0"/>
                      <a:ext cx="2139315" cy="2023110"/>
                    </a:xfrm>
                    <a:prstGeom prst="rect">
                      <a:avLst/>
                    </a:prstGeom>
                    <a:noFill/>
                    <a:ln>
                      <a:noFill/>
                    </a:ln>
                  </pic:spPr>
                </pic:pic>
              </a:graphicData>
            </a:graphic>
          </wp:inline>
        </w:drawing>
      </w:r>
    </w:p>
    <w:p w14:paraId="68851C6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Arial" w:hAnsi="Arial" w:cs="Arial"/>
          <w:sz w:val="28"/>
          <w:szCs w:val="28"/>
          <w:lang w:val="en-US" w:eastAsia="zh-CN"/>
        </w:rPr>
      </w:pPr>
      <w:r>
        <w:rPr>
          <w:rFonts w:hint="eastAsia" w:ascii="Times New Roman" w:hAnsi="Times New Roman" w:eastAsia="Segoe UI Emoji" w:cs="Times New Roman"/>
          <w:i w:val="0"/>
          <w:iCs w:val="0"/>
          <w:caps w:val="0"/>
          <w:spacing w:val="0"/>
          <w:sz w:val="24"/>
          <w:szCs w:val="24"/>
          <w:lang w:val="en-US" w:eastAsia="zh-CN"/>
        </w:rPr>
        <w:t>Rear frame bearing bottom              Guide roller</w:t>
      </w:r>
      <w:bookmarkStart w:id="0" w:name="_GoBack"/>
      <w:bookmarkEnd w:id="0"/>
    </w:p>
    <w:p w14:paraId="73A4989E">
      <w:pPr>
        <w:keepNext w:val="0"/>
        <w:keepLines w:val="0"/>
        <w:pageBreakBefore w:val="0"/>
        <w:widowControl/>
        <w:kinsoku w:val="0"/>
        <w:wordWrap/>
        <w:overflowPunct/>
        <w:topLinePunct w:val="0"/>
        <w:autoSpaceDE w:val="0"/>
        <w:autoSpaceDN w:val="0"/>
        <w:bidi w:val="0"/>
        <w:adjustRightInd w:val="0"/>
        <w:snapToGrid w:val="0"/>
        <w:spacing w:line="55" w:lineRule="auto"/>
        <w:textAlignment w:val="baseline"/>
        <w:rPr>
          <w:rFonts w:ascii="Arial"/>
          <w:sz w:val="2"/>
        </w:rPr>
      </w:pPr>
    </w:p>
    <w:p w14:paraId="793FFB5A">
      <w:pPr>
        <w:pStyle w:val="2"/>
        <w:keepNext w:val="0"/>
        <w:keepLines w:val="0"/>
        <w:pageBreakBefore w:val="0"/>
        <w:widowControl/>
        <w:kinsoku w:val="0"/>
        <w:wordWrap/>
        <w:overflowPunct/>
        <w:topLinePunct w:val="0"/>
        <w:autoSpaceDE w:val="0"/>
        <w:autoSpaceDN w:val="0"/>
        <w:bidi w:val="0"/>
        <w:adjustRightInd w:val="0"/>
        <w:snapToGrid w:val="0"/>
        <w:spacing w:line="14" w:lineRule="auto"/>
        <w:textAlignment w:val="baseline"/>
        <w:rPr>
          <w:rFonts w:hint="default"/>
          <w:position w:val="-68"/>
          <w:lang w:val="en-US" w:eastAsia="zh-CN"/>
        </w:rPr>
      </w:pPr>
    </w:p>
    <w:p w14:paraId="46B5ABC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lang w:val="en-US" w:eastAsia="zh-CN"/>
        </w:rPr>
      </w:pPr>
      <w:r>
        <w:rPr>
          <w:rFonts w:hint="default" w:ascii="Times New Roman" w:hAnsi="Times New Roman" w:cs="Times New Roman"/>
          <w:sz w:val="28"/>
          <w:szCs w:val="28"/>
        </w:rPr>
        <w:t xml:space="preserve">2. </w:t>
      </w:r>
      <w:r>
        <w:rPr>
          <w:rFonts w:hint="default" w:ascii="Times New Roman" w:hAnsi="Times New Roman" w:cs="Times New Roman"/>
          <w:sz w:val="28"/>
          <w:szCs w:val="28"/>
          <w:lang w:val="en-US" w:eastAsia="zh-CN"/>
        </w:rPr>
        <w:t xml:space="preserve">Superior </w:t>
      </w:r>
      <w:r>
        <w:rPr>
          <w:rFonts w:hint="eastAsia" w:ascii="Times New Roman" w:hAnsi="Times New Roman" w:cs="Times New Roman"/>
          <w:sz w:val="28"/>
          <w:szCs w:val="28"/>
          <w:lang w:val="en-US" w:eastAsia="zh-CN"/>
        </w:rPr>
        <w:t>Q</w:t>
      </w:r>
      <w:r>
        <w:rPr>
          <w:rFonts w:hint="default" w:ascii="Times New Roman" w:hAnsi="Times New Roman" w:cs="Times New Roman"/>
          <w:sz w:val="28"/>
          <w:szCs w:val="28"/>
          <w:lang w:val="en-US" w:eastAsia="zh-CN"/>
        </w:rPr>
        <w:t>uality</w:t>
      </w:r>
    </w:p>
    <w:p w14:paraId="5BF11F7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Segoe UI Emoji" w:cs="Times New Roman"/>
          <w:i w:val="0"/>
          <w:iCs w:val="0"/>
          <w:caps w:val="0"/>
          <w:spacing w:val="0"/>
          <w:sz w:val="24"/>
          <w:szCs w:val="24"/>
          <w:lang w:val="en-US" w:eastAsia="zh-CN"/>
        </w:rPr>
      </w:pPr>
      <w:r>
        <w:rPr>
          <w:rFonts w:hint="eastAsia" w:ascii="Times New Roman" w:hAnsi="Times New Roman" w:eastAsia="Segoe UI Emoji" w:cs="Times New Roman"/>
          <w:i w:val="0"/>
          <w:iCs w:val="0"/>
          <w:caps w:val="0"/>
          <w:spacing w:val="0"/>
          <w:sz w:val="24"/>
          <w:szCs w:val="24"/>
          <w:lang w:val="en-US" w:eastAsia="zh-CN"/>
        </w:rPr>
        <w:t>High-standard accessory configuration. Key hydraulic and electrical components including hydraulic oil pumps, main control valves, hydraulic locks, balancing valves and proximity switches are internationally renowned brands with excellent quality and high reliability.</w:t>
      </w:r>
    </w:p>
    <w:p w14:paraId="1B2B8B8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lang w:val="en-US" w:eastAsia="zh-CN"/>
        </w:rPr>
      </w:pPr>
      <w:r>
        <w:rPr>
          <w:rFonts w:hint="default" w:ascii="Times New Roman" w:hAnsi="Times New Roman" w:cs="Times New Roman"/>
          <w:sz w:val="28"/>
          <w:szCs w:val="28"/>
        </w:rPr>
        <w:t xml:space="preserve">3. </w:t>
      </w:r>
      <w:r>
        <w:rPr>
          <w:rFonts w:hint="default" w:ascii="Times New Roman" w:hAnsi="Times New Roman" w:cs="Times New Roman"/>
          <w:sz w:val="28"/>
          <w:szCs w:val="28"/>
          <w:lang w:val="en-US" w:eastAsia="zh-CN"/>
        </w:rPr>
        <w:t xml:space="preserve">Safe and </w:t>
      </w:r>
      <w:r>
        <w:rPr>
          <w:rFonts w:hint="eastAsia" w:ascii="Times New Roman" w:hAnsi="Times New Roman" w:cs="Times New Roman"/>
          <w:sz w:val="28"/>
          <w:szCs w:val="28"/>
          <w:lang w:val="en-US" w:eastAsia="zh-CN"/>
        </w:rPr>
        <w:t>R</w:t>
      </w:r>
      <w:r>
        <w:rPr>
          <w:rFonts w:hint="default" w:ascii="Times New Roman" w:hAnsi="Times New Roman" w:cs="Times New Roman"/>
          <w:sz w:val="28"/>
          <w:szCs w:val="28"/>
          <w:lang w:val="en-US" w:eastAsia="zh-CN"/>
        </w:rPr>
        <w:t>eliable</w:t>
      </w:r>
    </w:p>
    <w:p w14:paraId="5EBAEE3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Segoe UI Emoji" w:cs="Times New Roman"/>
          <w:i w:val="0"/>
          <w:iCs w:val="0"/>
          <w:caps w:val="0"/>
          <w:spacing w:val="0"/>
          <w:sz w:val="24"/>
          <w:szCs w:val="24"/>
          <w:lang w:val="en-US" w:eastAsia="zh-CN"/>
        </w:rPr>
      </w:pPr>
      <w:r>
        <w:rPr>
          <w:rFonts w:hint="default" w:ascii="Times New Roman" w:hAnsi="Times New Roman" w:eastAsia="Segoe UI Emoji" w:cs="Times New Roman"/>
          <w:i w:val="0"/>
          <w:iCs w:val="0"/>
          <w:caps w:val="0"/>
          <w:spacing w:val="0"/>
          <w:sz w:val="24"/>
          <w:szCs w:val="24"/>
          <w:lang w:val="en-US" w:eastAsia="zh-CN"/>
        </w:rPr>
        <w:t>Electro-hydraulic interlock logic control, hooklift upper structure is fitted with multiple electro-hydraulic interlock logic control devices for enhance safety.</w:t>
      </w:r>
    </w:p>
    <w:p w14:paraId="3214158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Times New Roman" w:hAnsi="Times New Roman" w:eastAsia="Segoe UI Emoji" w:cs="Times New Roman"/>
          <w:i w:val="0"/>
          <w:iCs w:val="0"/>
          <w:caps w:val="0"/>
          <w:spacing w:val="0"/>
          <w:sz w:val="24"/>
          <w:szCs w:val="24"/>
          <w:lang w:val="en-US" w:eastAsia="zh-CN"/>
        </w:rPr>
      </w:pPr>
      <w:r>
        <w:rPr>
          <w:rFonts w:hint="default" w:ascii="Times New Roman" w:hAnsi="Times New Roman" w:eastAsia="Segoe UI Emoji" w:cs="Times New Roman"/>
          <w:i w:val="0"/>
          <w:iCs w:val="0"/>
          <w:caps w:val="0"/>
          <w:spacing w:val="0"/>
          <w:sz w:val="24"/>
          <w:szCs w:val="24"/>
          <w:lang w:val="en-US" w:eastAsia="zh-CN"/>
        </w:rPr>
        <w:t>During the unloading operation, the cargo box can only be lifted for unloading after the box lock and tipper lock are engaged.</w:t>
      </w:r>
    </w:p>
    <w:p w14:paraId="284089E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Segoe UI Emoji" w:cs="Times New Roman"/>
          <w:i w:val="0"/>
          <w:iCs w:val="0"/>
          <w:caps w:val="0"/>
          <w:spacing w:val="0"/>
          <w:sz w:val="24"/>
          <w:szCs w:val="24"/>
          <w:lang w:val="en-US" w:eastAsia="zh-CN"/>
        </w:rPr>
      </w:pPr>
      <w:r>
        <w:rPr>
          <w:rFonts w:hint="default" w:ascii="Times New Roman" w:hAnsi="Times New Roman" w:eastAsia="Segoe UI Emoji" w:cs="Times New Roman"/>
          <w:i w:val="0"/>
          <w:iCs w:val="0"/>
          <w:caps w:val="0"/>
          <w:spacing w:val="0"/>
          <w:sz w:val="24"/>
          <w:szCs w:val="24"/>
          <w:lang w:val="en-US" w:eastAsia="zh-CN"/>
        </w:rPr>
        <w:t>Container lock and front frame shall remain inactive throughout the discharging process.</w:t>
      </w:r>
    </w:p>
    <w:p w14:paraId="16B04C1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Arial" w:hAnsi="Arial" w:eastAsia="宋体" w:cs="Arial"/>
          <w:sz w:val="28"/>
          <w:szCs w:val="28"/>
          <w:lang w:val="en-US" w:eastAsia="zh-CN"/>
        </w:rPr>
      </w:pPr>
      <w:r>
        <w:drawing>
          <wp:inline distT="0" distB="0" distL="114300" distR="114300">
            <wp:extent cx="1628775" cy="1809750"/>
            <wp:effectExtent l="0" t="0" r="9525" b="0"/>
            <wp:docPr id="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0"/>
                    <pic:cNvPicPr>
                      <a:picLocks noChangeAspect="1"/>
                    </pic:cNvPicPr>
                  </pic:nvPicPr>
                  <pic:blipFill>
                    <a:blip r:embed="rId19"/>
                    <a:stretch>
                      <a:fillRect/>
                    </a:stretch>
                  </pic:blipFill>
                  <pic:spPr>
                    <a:xfrm>
                      <a:off x="0" y="0"/>
                      <a:ext cx="1628775" cy="1809750"/>
                    </a:xfrm>
                    <a:prstGeom prst="rect">
                      <a:avLst/>
                    </a:prstGeom>
                    <a:noFill/>
                    <a:ln>
                      <a:noFill/>
                    </a:ln>
                  </pic:spPr>
                </pic:pic>
              </a:graphicData>
            </a:graphic>
          </wp:inline>
        </w:drawing>
      </w:r>
      <w:r>
        <w:rPr>
          <w:rFonts w:hint="eastAsia" w:eastAsia="宋体"/>
          <w:lang w:val="en-US" w:eastAsia="zh-CN"/>
        </w:rPr>
        <w:t xml:space="preserve"> </w:t>
      </w:r>
      <w:r>
        <w:drawing>
          <wp:inline distT="0" distB="0" distL="114300" distR="114300">
            <wp:extent cx="1447800" cy="1809750"/>
            <wp:effectExtent l="0" t="0" r="0" b="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20"/>
                    <a:stretch>
                      <a:fillRect/>
                    </a:stretch>
                  </pic:blipFill>
                  <pic:spPr>
                    <a:xfrm>
                      <a:off x="0" y="0"/>
                      <a:ext cx="1447800" cy="1809750"/>
                    </a:xfrm>
                    <a:prstGeom prst="rect">
                      <a:avLst/>
                    </a:prstGeom>
                    <a:noFill/>
                    <a:ln>
                      <a:noFill/>
                    </a:ln>
                  </pic:spPr>
                </pic:pic>
              </a:graphicData>
            </a:graphic>
          </wp:inline>
        </w:drawing>
      </w:r>
      <w:r>
        <w:rPr>
          <w:rFonts w:hint="eastAsia" w:eastAsia="宋体"/>
          <w:lang w:val="en-US" w:eastAsia="zh-CN"/>
        </w:rPr>
        <w:t xml:space="preserve">  </w:t>
      </w:r>
      <w:r>
        <w:drawing>
          <wp:inline distT="0" distB="0" distL="114300" distR="114300">
            <wp:extent cx="1514475" cy="1809750"/>
            <wp:effectExtent l="0" t="0" r="9525" b="0"/>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pic:cNvPicPr>
                  </pic:nvPicPr>
                  <pic:blipFill>
                    <a:blip r:embed="rId21"/>
                    <a:stretch>
                      <a:fillRect/>
                    </a:stretch>
                  </pic:blipFill>
                  <pic:spPr>
                    <a:xfrm>
                      <a:off x="0" y="0"/>
                      <a:ext cx="1514475" cy="1809750"/>
                    </a:xfrm>
                    <a:prstGeom prst="rect">
                      <a:avLst/>
                    </a:prstGeom>
                    <a:noFill/>
                    <a:ln>
                      <a:noFill/>
                    </a:ln>
                  </pic:spPr>
                </pic:pic>
              </a:graphicData>
            </a:graphic>
          </wp:inline>
        </w:drawing>
      </w:r>
    </w:p>
    <w:p w14:paraId="77F826C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Times New Roman" w:hAnsi="Times New Roman" w:eastAsia="Segoe UI Emoji" w:cs="Times New Roman"/>
          <w:i w:val="0"/>
          <w:iCs w:val="0"/>
          <w:caps w:val="0"/>
          <w:spacing w:val="0"/>
          <w:sz w:val="24"/>
          <w:szCs w:val="24"/>
          <w:lang w:val="en-US" w:eastAsia="zh-CN"/>
        </w:rPr>
      </w:pPr>
      <w:r>
        <w:rPr>
          <w:rFonts w:hint="default" w:ascii="Times New Roman" w:hAnsi="Times New Roman" w:eastAsia="Segoe UI Emoji" w:cs="Times New Roman"/>
          <w:i w:val="0"/>
          <w:iCs w:val="0"/>
          <w:caps w:val="0"/>
          <w:spacing w:val="0"/>
          <w:sz w:val="24"/>
          <w:szCs w:val="24"/>
          <w:lang w:val="en-US" w:eastAsia="zh-CN"/>
        </w:rPr>
        <w:t>Buffer and Descending Device. A tank buffer and descending device is installed in the hydraulic system. When the tank descends to a certain angle, the sensor triggers an electrical signal. The circuit controls the buffer valve in the hydraulic system, enabling the tank to lower gently onto the vehicle and avoid rigid impact</w:t>
      </w:r>
      <w:r>
        <w:rPr>
          <w:rFonts w:hint="eastAsia" w:ascii="Times New Roman" w:hAnsi="Times New Roman" w:eastAsia="Segoe UI Emoji" w:cs="Times New Roman"/>
          <w:i w:val="0"/>
          <w:iCs w:val="0"/>
          <w:caps w:val="0"/>
          <w:spacing w:val="0"/>
          <w:sz w:val="24"/>
          <w:szCs w:val="24"/>
          <w:lang w:val="en-US" w:eastAsia="zh-CN"/>
        </w:rPr>
        <w:t>.</w:t>
      </w:r>
    </w:p>
    <w:p w14:paraId="1B7F91D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Segoe UI Emoji" w:hAnsi="Segoe UI Emoji" w:eastAsia="宋体" w:cs="Segoe UI Emoji"/>
          <w:i w:val="0"/>
          <w:iCs w:val="0"/>
          <w:caps w:val="0"/>
          <w:spacing w:val="0"/>
          <w:sz w:val="19"/>
          <w:szCs w:val="19"/>
          <w:lang w:val="en-US" w:eastAsia="zh-CN"/>
        </w:rPr>
      </w:pPr>
      <w:r>
        <w:drawing>
          <wp:inline distT="0" distB="0" distL="114300" distR="114300">
            <wp:extent cx="2085975" cy="1826260"/>
            <wp:effectExtent l="0" t="0" r="9525" b="254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22"/>
                    <a:stretch>
                      <a:fillRect/>
                    </a:stretch>
                  </pic:blipFill>
                  <pic:spPr>
                    <a:xfrm>
                      <a:off x="0" y="0"/>
                      <a:ext cx="2085975" cy="1826260"/>
                    </a:xfrm>
                    <a:prstGeom prst="rect">
                      <a:avLst/>
                    </a:prstGeom>
                    <a:noFill/>
                    <a:ln>
                      <a:noFill/>
                    </a:ln>
                  </pic:spPr>
                </pic:pic>
              </a:graphicData>
            </a:graphic>
          </wp:inline>
        </w:drawing>
      </w:r>
      <w:r>
        <w:rPr>
          <w:rFonts w:hint="eastAsia" w:eastAsia="宋体"/>
          <w:lang w:val="en-US" w:eastAsia="zh-CN"/>
        </w:rPr>
        <w:t xml:space="preserve">   </w:t>
      </w:r>
      <w:r>
        <w:drawing>
          <wp:inline distT="0" distB="0" distL="114300" distR="114300">
            <wp:extent cx="2419350" cy="1733550"/>
            <wp:effectExtent l="0" t="0" r="0" b="0"/>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23"/>
                    <a:stretch>
                      <a:fillRect/>
                    </a:stretch>
                  </pic:blipFill>
                  <pic:spPr>
                    <a:xfrm>
                      <a:off x="0" y="0"/>
                      <a:ext cx="2419350" cy="1733550"/>
                    </a:xfrm>
                    <a:prstGeom prst="rect">
                      <a:avLst/>
                    </a:prstGeom>
                    <a:noFill/>
                    <a:ln>
                      <a:noFill/>
                    </a:ln>
                  </pic:spPr>
                </pic:pic>
              </a:graphicData>
            </a:graphic>
          </wp:inline>
        </w:drawing>
      </w:r>
    </w:p>
    <w:p w14:paraId="50D229E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Segoe UI Emoji" w:cs="Times New Roman"/>
          <w:i w:val="0"/>
          <w:iCs w:val="0"/>
          <w:caps w:val="0"/>
          <w:spacing w:val="0"/>
          <w:sz w:val="24"/>
          <w:szCs w:val="24"/>
          <w:lang w:val="en-US" w:eastAsia="zh-CN"/>
        </w:rPr>
      </w:pPr>
      <w:r>
        <w:rPr>
          <w:rFonts w:hint="default" w:ascii="Times New Roman" w:hAnsi="Times New Roman" w:eastAsia="Segoe UI Emoji" w:cs="Times New Roman"/>
          <w:i w:val="0"/>
          <w:iCs w:val="0"/>
          <w:caps w:val="0"/>
          <w:spacing w:val="0"/>
          <w:sz w:val="24"/>
          <w:szCs w:val="24"/>
          <w:lang w:val="en-US" w:eastAsia="zh-CN"/>
        </w:rPr>
        <w:t>Safety support. The vehicle is equipped with safety support device, it must deployed in case of lifting the hooklift for repairing, to protect the safety of maintenance personal.</w:t>
      </w:r>
    </w:p>
    <w:p w14:paraId="3D4560E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Segoe UI Emoji" w:cs="Times New Roman"/>
          <w:i w:val="0"/>
          <w:iCs w:val="0"/>
          <w:caps w:val="0"/>
          <w:spacing w:val="0"/>
          <w:sz w:val="24"/>
          <w:szCs w:val="24"/>
          <w:lang w:val="en-US" w:eastAsia="zh-CN"/>
        </w:rPr>
      </w:pPr>
      <w:r>
        <w:rPr>
          <w:rFonts w:hint="default" w:ascii="Times New Roman" w:hAnsi="Times New Roman" w:eastAsia="Segoe UI Emoji" w:cs="Times New Roman"/>
          <w:i w:val="0"/>
          <w:iCs w:val="0"/>
          <w:caps w:val="0"/>
          <w:spacing w:val="0"/>
          <w:sz w:val="24"/>
          <w:szCs w:val="24"/>
          <w:lang w:val="en-US" w:eastAsia="zh-CN"/>
        </w:rPr>
        <w:t>Buzzer is fitted on the vehicle. It emits voice alarm during hooklift upper structure operation, to alert personal in the working area, and guarantee the personal and equipment safety.</w:t>
      </w:r>
    </w:p>
    <w:p w14:paraId="5583CF8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default" w:ascii="Arial" w:hAnsi="Arial" w:eastAsia="宋体" w:cs="Arial"/>
          <w:sz w:val="28"/>
          <w:szCs w:val="28"/>
          <w:lang w:val="en-US" w:eastAsia="zh-CN"/>
        </w:rPr>
      </w:pPr>
      <w:r>
        <w:drawing>
          <wp:inline distT="0" distB="0" distL="114300" distR="114300">
            <wp:extent cx="2209800" cy="2381250"/>
            <wp:effectExtent l="0" t="0" r="0" b="0"/>
            <wp:docPr id="2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3"/>
                    <pic:cNvPicPr>
                      <a:picLocks noChangeAspect="1"/>
                    </pic:cNvPicPr>
                  </pic:nvPicPr>
                  <pic:blipFill>
                    <a:blip r:embed="rId24"/>
                    <a:stretch>
                      <a:fillRect/>
                    </a:stretch>
                  </pic:blipFill>
                  <pic:spPr>
                    <a:xfrm>
                      <a:off x="0" y="0"/>
                      <a:ext cx="2209800" cy="2381250"/>
                    </a:xfrm>
                    <a:prstGeom prst="rect">
                      <a:avLst/>
                    </a:prstGeom>
                    <a:noFill/>
                    <a:ln>
                      <a:noFill/>
                    </a:ln>
                  </pic:spPr>
                </pic:pic>
              </a:graphicData>
            </a:graphic>
          </wp:inline>
        </w:drawing>
      </w:r>
      <w:r>
        <w:rPr>
          <w:rFonts w:hint="eastAsia" w:eastAsia="宋体"/>
          <w:lang w:val="en-US" w:eastAsia="zh-CN"/>
        </w:rPr>
        <w:t xml:space="preserve">  </w:t>
      </w:r>
      <w:r>
        <w:drawing>
          <wp:inline distT="0" distB="0" distL="114300" distR="114300">
            <wp:extent cx="2343150" cy="2362200"/>
            <wp:effectExtent l="0" t="0" r="0" b="0"/>
            <wp:docPr id="2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4"/>
                    <pic:cNvPicPr>
                      <a:picLocks noChangeAspect="1"/>
                    </pic:cNvPicPr>
                  </pic:nvPicPr>
                  <pic:blipFill>
                    <a:blip r:embed="rId25"/>
                    <a:stretch>
                      <a:fillRect/>
                    </a:stretch>
                  </pic:blipFill>
                  <pic:spPr>
                    <a:xfrm>
                      <a:off x="0" y="0"/>
                      <a:ext cx="2343150" cy="2362200"/>
                    </a:xfrm>
                    <a:prstGeom prst="rect">
                      <a:avLst/>
                    </a:prstGeom>
                    <a:noFill/>
                    <a:ln>
                      <a:noFill/>
                    </a:ln>
                  </pic:spPr>
                </pic:pic>
              </a:graphicData>
            </a:graphic>
          </wp:inline>
        </w:drawing>
      </w:r>
    </w:p>
    <w:p w14:paraId="424650BA">
      <w:pPr>
        <w:keepNext w:val="0"/>
        <w:keepLines w:val="0"/>
        <w:pageBreakBefore w:val="0"/>
        <w:widowControl/>
        <w:kinsoku w:val="0"/>
        <w:wordWrap/>
        <w:overflowPunct/>
        <w:topLinePunct w:val="0"/>
        <w:autoSpaceDE w:val="0"/>
        <w:autoSpaceDN w:val="0"/>
        <w:bidi w:val="0"/>
        <w:adjustRightInd w:val="0"/>
        <w:snapToGrid w:val="0"/>
        <w:spacing w:line="360" w:lineRule="auto"/>
        <w:ind w:firstLine="1200" w:firstLineChars="500"/>
        <w:jc w:val="both"/>
        <w:textAlignment w:val="baseline"/>
        <w:rPr>
          <w:rFonts w:hint="default" w:ascii="Times New Roman" w:hAnsi="Times New Roman" w:eastAsia="Segoe UI Emoji" w:cs="Times New Roman"/>
          <w:i w:val="0"/>
          <w:iCs w:val="0"/>
          <w:caps w:val="0"/>
          <w:spacing w:val="0"/>
          <w:sz w:val="24"/>
          <w:szCs w:val="24"/>
          <w:lang w:val="en-US" w:eastAsia="zh-CN"/>
        </w:rPr>
      </w:pPr>
      <w:r>
        <w:rPr>
          <w:rFonts w:hint="default" w:ascii="Times New Roman" w:hAnsi="Times New Roman" w:eastAsia="Segoe UI Emoji" w:cs="Times New Roman"/>
          <w:i w:val="0"/>
          <w:iCs w:val="0"/>
          <w:caps w:val="0"/>
          <w:spacing w:val="0"/>
          <w:sz w:val="24"/>
          <w:szCs w:val="24"/>
          <w:lang w:val="en-US" w:eastAsia="zh-CN"/>
        </w:rPr>
        <w:t>Safety Support</w:t>
      </w:r>
      <w:r>
        <w:rPr>
          <w:rFonts w:hint="eastAsia" w:ascii="Times New Roman" w:hAnsi="Times New Roman" w:eastAsia="Segoe UI Emoji" w:cs="Times New Roman"/>
          <w:i w:val="0"/>
          <w:iCs w:val="0"/>
          <w:caps w:val="0"/>
          <w:spacing w:val="0"/>
          <w:sz w:val="24"/>
          <w:szCs w:val="24"/>
          <w:lang w:val="en-US" w:eastAsia="zh-CN"/>
        </w:rPr>
        <w:t xml:space="preserve">                     </w:t>
      </w:r>
      <w:r>
        <w:rPr>
          <w:rFonts w:hint="default" w:ascii="Times New Roman" w:hAnsi="Times New Roman" w:eastAsia="Segoe UI Emoji" w:cs="Times New Roman"/>
          <w:i w:val="0"/>
          <w:iCs w:val="0"/>
          <w:caps w:val="0"/>
          <w:spacing w:val="0"/>
          <w:sz w:val="24"/>
          <w:szCs w:val="24"/>
          <w:lang w:val="en-US" w:eastAsia="zh-CN"/>
        </w:rPr>
        <w:t>Buzzer</w:t>
      </w:r>
    </w:p>
    <w:p w14:paraId="271A3C9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Segoe UI Emoji" w:cs="Times New Roman"/>
          <w:i w:val="0"/>
          <w:iCs w:val="0"/>
          <w:caps w:val="0"/>
          <w:spacing w:val="0"/>
          <w:sz w:val="24"/>
          <w:szCs w:val="24"/>
          <w:lang w:val="en-US" w:eastAsia="zh-CN"/>
        </w:rPr>
      </w:pPr>
      <w:r>
        <w:rPr>
          <w:rFonts w:hint="default" w:ascii="Times New Roman" w:hAnsi="Times New Roman" w:eastAsia="Segoe UI Emoji" w:cs="Times New Roman"/>
          <w:i w:val="0"/>
          <w:iCs w:val="0"/>
          <w:caps w:val="0"/>
          <w:spacing w:val="0"/>
          <w:sz w:val="24"/>
          <w:szCs w:val="24"/>
          <w:lang w:val="en-US" w:eastAsia="zh-CN"/>
        </w:rPr>
        <w:t xml:space="preserve"> Rear supporting device. The rear roller support device is installed at the rear of vehicle, to extend rear roller on ground before hooklift lifting full loaded container, to prevent vehicles from tipping backward, to ensure safe and reliable operation.</w:t>
      </w:r>
    </w:p>
    <w:p w14:paraId="19DCA73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ascii="宋体" w:hAnsi="宋体" w:eastAsia="宋体" w:cs="宋体"/>
          <w:sz w:val="20"/>
          <w:szCs w:val="20"/>
        </w:rPr>
      </w:pPr>
      <w:r>
        <w:drawing>
          <wp:inline distT="0" distB="0" distL="114300" distR="114300">
            <wp:extent cx="2383790" cy="2721610"/>
            <wp:effectExtent l="0" t="0" r="16510" b="2540"/>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pic:cNvPicPr>
                      <a:picLocks noChangeAspect="1"/>
                    </pic:cNvPicPr>
                  </pic:nvPicPr>
                  <pic:blipFill>
                    <a:blip r:embed="rId26"/>
                    <a:stretch>
                      <a:fillRect/>
                    </a:stretch>
                  </pic:blipFill>
                  <pic:spPr>
                    <a:xfrm>
                      <a:off x="0" y="0"/>
                      <a:ext cx="2383790" cy="2721610"/>
                    </a:xfrm>
                    <a:prstGeom prst="rect">
                      <a:avLst/>
                    </a:prstGeom>
                    <a:noFill/>
                    <a:ln>
                      <a:noFill/>
                    </a:ln>
                  </pic:spPr>
                </pic:pic>
              </a:graphicData>
            </a:graphic>
          </wp:inline>
        </w:drawing>
      </w:r>
      <w:r>
        <w:rPr>
          <w:rFonts w:hint="eastAsia" w:eastAsia="宋体"/>
          <w:lang w:val="en-US" w:eastAsia="zh-CN"/>
        </w:rPr>
        <w:t xml:space="preserve"> </w:t>
      </w:r>
      <w:r>
        <w:drawing>
          <wp:inline distT="0" distB="0" distL="114300" distR="114300">
            <wp:extent cx="2153920" cy="2704465"/>
            <wp:effectExtent l="0" t="0" r="17780" b="635"/>
            <wp:docPr id="2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6"/>
                    <pic:cNvPicPr>
                      <a:picLocks noChangeAspect="1"/>
                    </pic:cNvPicPr>
                  </pic:nvPicPr>
                  <pic:blipFill>
                    <a:blip r:embed="rId27"/>
                    <a:stretch>
                      <a:fillRect/>
                    </a:stretch>
                  </pic:blipFill>
                  <pic:spPr>
                    <a:xfrm>
                      <a:off x="0" y="0"/>
                      <a:ext cx="2153920" cy="2704465"/>
                    </a:xfrm>
                    <a:prstGeom prst="rect">
                      <a:avLst/>
                    </a:prstGeom>
                    <a:noFill/>
                    <a:ln>
                      <a:noFill/>
                    </a:ln>
                  </pic:spPr>
                </pic:pic>
              </a:graphicData>
            </a:graphic>
          </wp:inline>
        </w:drawing>
      </w:r>
      <w:r>
        <w:rPr>
          <w:rFonts w:ascii="宋体" w:hAnsi="宋体" w:eastAsia="宋体" w:cs="宋体"/>
          <w:spacing w:val="1"/>
          <w:sz w:val="20"/>
          <w:szCs w:val="20"/>
        </w:rPr>
        <w:t xml:space="preserve">  </w:t>
      </w:r>
    </w:p>
    <w:p w14:paraId="55CA1102">
      <w:pPr>
        <w:keepNext w:val="0"/>
        <w:keepLines w:val="0"/>
        <w:pageBreakBefore w:val="0"/>
        <w:widowControl/>
        <w:kinsoku w:val="0"/>
        <w:wordWrap/>
        <w:overflowPunct/>
        <w:topLinePunct w:val="0"/>
        <w:autoSpaceDE w:val="0"/>
        <w:autoSpaceDN w:val="0"/>
        <w:bidi w:val="0"/>
        <w:adjustRightInd w:val="0"/>
        <w:snapToGrid w:val="0"/>
        <w:spacing w:line="360" w:lineRule="auto"/>
        <w:ind w:firstLine="1200" w:firstLineChars="500"/>
        <w:textAlignment w:val="baseline"/>
        <w:rPr>
          <w:rFonts w:hint="default" w:ascii="Arial" w:hAnsi="Arial" w:eastAsia="宋体" w:cs="Arial"/>
          <w:sz w:val="28"/>
          <w:szCs w:val="28"/>
          <w:lang w:val="en-US" w:eastAsia="zh-CN"/>
        </w:rPr>
      </w:pPr>
      <w:r>
        <w:rPr>
          <w:rFonts w:hint="default" w:ascii="Times New Roman" w:hAnsi="Times New Roman" w:eastAsia="Segoe UI Emoji" w:cs="Times New Roman"/>
          <w:i w:val="0"/>
          <w:iCs w:val="0"/>
          <w:caps w:val="0"/>
          <w:spacing w:val="0"/>
          <w:sz w:val="24"/>
          <w:szCs w:val="24"/>
          <w:lang w:val="en-US" w:eastAsia="zh-CN"/>
        </w:rPr>
        <w:t xml:space="preserve">Retract </w:t>
      </w:r>
      <w:r>
        <w:rPr>
          <w:rFonts w:hint="eastAsia" w:ascii="Times New Roman" w:hAnsi="Times New Roman" w:eastAsia="Segoe UI Emoji" w:cs="Times New Roman"/>
          <w:i w:val="0"/>
          <w:iCs w:val="0"/>
          <w:caps w:val="0"/>
          <w:spacing w:val="0"/>
          <w:sz w:val="24"/>
          <w:szCs w:val="24"/>
          <w:lang w:val="en-US" w:eastAsia="zh-CN"/>
        </w:rPr>
        <w:t>Roller                 Stretch Roller</w:t>
      </w:r>
      <w:r>
        <w:rPr>
          <w:rFonts w:hint="eastAsia" w:eastAsia="宋体" w:cs="Arial"/>
          <w:sz w:val="28"/>
          <w:szCs w:val="28"/>
          <w:lang w:val="en-US" w:eastAsia="zh-CN"/>
        </w:rPr>
        <w:t xml:space="preserve">           </w:t>
      </w:r>
    </w:p>
    <w:p w14:paraId="3CAF763E">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High Maintainability</w:t>
      </w:r>
    </w:p>
    <w:p w14:paraId="4B560C9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Segoe UI Emoji" w:cs="Times New Roman"/>
          <w:i w:val="0"/>
          <w:iCs w:val="0"/>
          <w:caps w:val="0"/>
          <w:spacing w:val="0"/>
          <w:sz w:val="24"/>
          <w:szCs w:val="24"/>
          <w:lang w:val="en-US" w:eastAsia="zh-CN"/>
        </w:rPr>
      </w:pPr>
      <w:r>
        <w:rPr>
          <w:rFonts w:hint="default" w:ascii="Times New Roman" w:hAnsi="Times New Roman" w:eastAsia="Segoe UI Emoji" w:cs="Times New Roman"/>
          <w:i w:val="0"/>
          <w:iCs w:val="0"/>
          <w:caps w:val="0"/>
          <w:spacing w:val="0"/>
          <w:sz w:val="24"/>
          <w:szCs w:val="24"/>
          <w:lang w:val="en-US" w:eastAsia="zh-CN"/>
        </w:rPr>
        <w:t>It is convenient to maintenance. The hooklift can be lifted during repairing,</w:t>
      </w:r>
      <w:r>
        <w:rPr>
          <w:rFonts w:hint="eastAsia" w:ascii="Times New Roman" w:hAnsi="Times New Roman" w:eastAsia="Segoe UI Emoji" w:cs="Times New Roman"/>
          <w:i w:val="0"/>
          <w:iCs w:val="0"/>
          <w:caps w:val="0"/>
          <w:spacing w:val="0"/>
          <w:sz w:val="24"/>
          <w:szCs w:val="24"/>
          <w:lang w:val="en-US" w:eastAsia="zh-CN"/>
        </w:rPr>
        <w:t xml:space="preserve"> </w:t>
      </w:r>
      <w:r>
        <w:rPr>
          <w:rFonts w:hint="default" w:ascii="Times New Roman" w:hAnsi="Times New Roman" w:eastAsia="Segoe UI Emoji" w:cs="Times New Roman"/>
          <w:i w:val="0"/>
          <w:iCs w:val="0"/>
          <w:caps w:val="0"/>
          <w:spacing w:val="0"/>
          <w:sz w:val="24"/>
          <w:szCs w:val="24"/>
          <w:lang w:val="en-US" w:eastAsia="zh-CN"/>
        </w:rPr>
        <w:t xml:space="preserve">to provide ample working space. Hydraulic pipe and electrical wiring are neatly arranged, to make it easy for troubleshooting and component replacement. </w:t>
      </w:r>
    </w:p>
    <w:p w14:paraId="0E35F7D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center"/>
        <w:textAlignment w:val="baseline"/>
        <w:rPr>
          <w:rFonts w:hint="default" w:ascii="Arial" w:hAnsi="Arial" w:cs="Arial"/>
          <w:sz w:val="28"/>
          <w:szCs w:val="28"/>
          <w:lang w:val="en-US" w:eastAsia="zh-CN"/>
        </w:rPr>
      </w:pPr>
      <w:r>
        <w:rPr>
          <w:position w:val="-49"/>
        </w:rPr>
        <w:drawing>
          <wp:inline distT="0" distB="0" distL="0" distR="0">
            <wp:extent cx="2282825" cy="1904365"/>
            <wp:effectExtent l="0" t="0" r="3175" b="635"/>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28"/>
                    <a:stretch>
                      <a:fillRect/>
                    </a:stretch>
                  </pic:blipFill>
                  <pic:spPr>
                    <a:xfrm>
                      <a:off x="0" y="0"/>
                      <a:ext cx="2282825" cy="1904365"/>
                    </a:xfrm>
                    <a:prstGeom prst="rect">
                      <a:avLst/>
                    </a:prstGeom>
                  </pic:spPr>
                </pic:pic>
              </a:graphicData>
            </a:graphic>
          </wp:inline>
        </w:drawing>
      </w:r>
    </w:p>
    <w:p w14:paraId="5AE24728">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default"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七</w:t>
      </w:r>
      <w:r>
        <w:rPr>
          <w:rFonts w:hint="default" w:ascii="Times New Roman" w:hAnsi="Times New Roman" w:cs="Times New Roman"/>
          <w:b/>
          <w:bCs/>
          <w:sz w:val="28"/>
          <w:szCs w:val="28"/>
          <w:lang w:val="en-US" w:eastAsia="zh-CN"/>
        </w:rPr>
        <w:t>、Operation Function</w:t>
      </w:r>
    </w:p>
    <w:p w14:paraId="105C0C3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Segoe UI Emoji" w:cs="Times New Roman"/>
          <w:i w:val="0"/>
          <w:iCs w:val="0"/>
          <w:caps w:val="0"/>
          <w:spacing w:val="0"/>
          <w:sz w:val="24"/>
          <w:szCs w:val="24"/>
          <w:lang w:val="en-US" w:eastAsia="zh-CN"/>
        </w:rPr>
      </w:pPr>
      <w:r>
        <w:rPr>
          <w:rFonts w:hint="default" w:ascii="Times New Roman" w:hAnsi="Times New Roman" w:eastAsia="Segoe UI Emoji" w:cs="Times New Roman"/>
          <w:i w:val="0"/>
          <w:iCs w:val="0"/>
          <w:caps w:val="0"/>
          <w:spacing w:val="0"/>
          <w:sz w:val="24"/>
          <w:szCs w:val="24"/>
          <w:lang w:val="en-US" w:eastAsia="zh-CN"/>
        </w:rPr>
        <w:t>Loading container, the hooklift lifts container from ground (or platform) onto vehicles.</w:t>
      </w:r>
    </w:p>
    <w:p w14:paraId="7899160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Segoe UI Emoji" w:cs="Times New Roman"/>
          <w:i w:val="0"/>
          <w:iCs w:val="0"/>
          <w:caps w:val="0"/>
          <w:spacing w:val="0"/>
          <w:sz w:val="24"/>
          <w:szCs w:val="24"/>
          <w:lang w:val="en-US" w:eastAsia="zh-CN"/>
        </w:rPr>
      </w:pPr>
      <w:r>
        <w:rPr>
          <w:rFonts w:hint="default" w:ascii="Times New Roman" w:hAnsi="Times New Roman" w:eastAsia="Segoe UI Emoji" w:cs="Times New Roman"/>
          <w:i w:val="0"/>
          <w:iCs w:val="0"/>
          <w:caps w:val="0"/>
          <w:spacing w:val="0"/>
          <w:sz w:val="24"/>
          <w:szCs w:val="24"/>
          <w:lang w:val="en-US" w:eastAsia="zh-CN"/>
        </w:rPr>
        <w:t>Unloading Container. Hooklift lowers the container from vehicle to ground(or platform)</w:t>
      </w:r>
    </w:p>
    <w:p w14:paraId="00DB813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Segoe UI Emoji" w:cs="Times New Roman"/>
          <w:i w:val="0"/>
          <w:iCs w:val="0"/>
          <w:caps w:val="0"/>
          <w:spacing w:val="0"/>
          <w:sz w:val="24"/>
          <w:szCs w:val="24"/>
          <w:lang w:val="en-US" w:eastAsia="zh-CN"/>
        </w:rPr>
      </w:pPr>
      <w:r>
        <w:rPr>
          <w:rFonts w:hint="default" w:ascii="Times New Roman" w:hAnsi="Times New Roman" w:eastAsia="Segoe UI Emoji" w:cs="Times New Roman"/>
          <w:i w:val="0"/>
          <w:iCs w:val="0"/>
          <w:caps w:val="0"/>
          <w:spacing w:val="0"/>
          <w:sz w:val="24"/>
          <w:szCs w:val="24"/>
          <w:lang w:val="en-US" w:eastAsia="zh-CN"/>
        </w:rPr>
        <w:t>Transfer. The hooklift travels with the container mounted.</w:t>
      </w:r>
    </w:p>
    <w:p w14:paraId="326A9A6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Segoe UI Emoji" w:cs="Times New Roman"/>
          <w:i w:val="0"/>
          <w:iCs w:val="0"/>
          <w:caps w:val="0"/>
          <w:spacing w:val="0"/>
          <w:sz w:val="24"/>
          <w:szCs w:val="24"/>
          <w:lang w:val="en-US" w:eastAsia="zh-CN"/>
        </w:rPr>
      </w:pPr>
      <w:r>
        <w:rPr>
          <w:rFonts w:hint="default" w:ascii="Times New Roman" w:hAnsi="Times New Roman" w:eastAsia="Segoe UI Emoji" w:cs="Times New Roman"/>
          <w:i w:val="0"/>
          <w:iCs w:val="0"/>
          <w:caps w:val="0"/>
          <w:spacing w:val="0"/>
          <w:sz w:val="24"/>
          <w:szCs w:val="24"/>
          <w:lang w:val="en-US" w:eastAsia="zh-CN"/>
        </w:rPr>
        <w:t>Discharging. The hooklift lift</w:t>
      </w:r>
      <w:r>
        <w:rPr>
          <w:rFonts w:hint="eastAsia" w:ascii="Times New Roman" w:hAnsi="Times New Roman" w:eastAsia="Segoe UI Emoji" w:cs="Times New Roman"/>
          <w:i w:val="0"/>
          <w:iCs w:val="0"/>
          <w:caps w:val="0"/>
          <w:spacing w:val="0"/>
          <w:sz w:val="24"/>
          <w:szCs w:val="24"/>
          <w:lang w:val="en-US" w:eastAsia="zh-CN"/>
        </w:rPr>
        <w:t>s</w:t>
      </w:r>
      <w:r>
        <w:rPr>
          <w:rFonts w:hint="default" w:ascii="Times New Roman" w:hAnsi="Times New Roman" w:eastAsia="Segoe UI Emoji" w:cs="Times New Roman"/>
          <w:i w:val="0"/>
          <w:iCs w:val="0"/>
          <w:caps w:val="0"/>
          <w:spacing w:val="0"/>
          <w:sz w:val="24"/>
          <w:szCs w:val="24"/>
          <w:lang w:val="en-US" w:eastAsia="zh-CN"/>
        </w:rPr>
        <w:t xml:space="preserve"> the container, </w:t>
      </w:r>
      <w:r>
        <w:rPr>
          <w:rFonts w:hint="eastAsia" w:ascii="Times New Roman" w:hAnsi="Times New Roman" w:eastAsia="Segoe UI Emoji" w:cs="Times New Roman"/>
          <w:i w:val="0"/>
          <w:iCs w:val="0"/>
          <w:caps w:val="0"/>
          <w:spacing w:val="0"/>
          <w:sz w:val="24"/>
          <w:szCs w:val="24"/>
          <w:lang w:val="en-US" w:eastAsia="zh-CN"/>
        </w:rPr>
        <w:t xml:space="preserve">and </w:t>
      </w:r>
      <w:r>
        <w:rPr>
          <w:rFonts w:hint="default" w:ascii="Times New Roman" w:hAnsi="Times New Roman" w:eastAsia="Segoe UI Emoji" w:cs="Times New Roman"/>
          <w:i w:val="0"/>
          <w:iCs w:val="0"/>
          <w:caps w:val="0"/>
          <w:spacing w:val="0"/>
          <w:sz w:val="24"/>
          <w:szCs w:val="24"/>
          <w:lang w:val="en-US" w:eastAsia="zh-CN"/>
        </w:rPr>
        <w:t>dump</w:t>
      </w:r>
      <w:r>
        <w:rPr>
          <w:rFonts w:hint="eastAsia" w:ascii="Times New Roman" w:hAnsi="Times New Roman" w:eastAsia="Segoe UI Emoji" w:cs="Times New Roman"/>
          <w:i w:val="0"/>
          <w:iCs w:val="0"/>
          <w:caps w:val="0"/>
          <w:spacing w:val="0"/>
          <w:sz w:val="24"/>
          <w:szCs w:val="24"/>
          <w:lang w:val="en-US" w:eastAsia="zh-CN"/>
        </w:rPr>
        <w:t>s</w:t>
      </w:r>
      <w:r>
        <w:rPr>
          <w:rFonts w:hint="default" w:ascii="Times New Roman" w:hAnsi="Times New Roman" w:eastAsia="Segoe UI Emoji" w:cs="Times New Roman"/>
          <w:i w:val="0"/>
          <w:iCs w:val="0"/>
          <w:caps w:val="0"/>
          <w:spacing w:val="0"/>
          <w:sz w:val="24"/>
          <w:szCs w:val="24"/>
          <w:lang w:val="en-US" w:eastAsia="zh-CN"/>
        </w:rPr>
        <w:t xml:space="preserve"> the garbage.</w:t>
      </w:r>
    </w:p>
    <w:p w14:paraId="1A83B2AD">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Arial" w:hAnsi="Arial" w:cs="Arial"/>
          <w:sz w:val="28"/>
          <w:szCs w:val="28"/>
        </w:rPr>
      </w:pPr>
      <w:r>
        <w:drawing>
          <wp:inline distT="0" distB="0" distL="114300" distR="114300">
            <wp:extent cx="5610860" cy="3735705"/>
            <wp:effectExtent l="0" t="0" r="8890" b="17145"/>
            <wp:docPr id="3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4"/>
                    <pic:cNvPicPr>
                      <a:picLocks noChangeAspect="1"/>
                    </pic:cNvPicPr>
                  </pic:nvPicPr>
                  <pic:blipFill>
                    <a:blip r:embed="rId29"/>
                    <a:stretch>
                      <a:fillRect/>
                    </a:stretch>
                  </pic:blipFill>
                  <pic:spPr>
                    <a:xfrm>
                      <a:off x="0" y="0"/>
                      <a:ext cx="5610860" cy="3735705"/>
                    </a:xfrm>
                    <a:prstGeom prst="rect">
                      <a:avLst/>
                    </a:prstGeom>
                    <a:noFill/>
                    <a:ln>
                      <a:noFill/>
                    </a:ln>
                  </pic:spPr>
                </pic:pic>
              </a:graphicData>
            </a:graphic>
          </wp:inline>
        </w:drawing>
      </w:r>
    </w:p>
    <w:p w14:paraId="02783333">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Arial" w:hAnsi="Arial" w:cs="Arial"/>
          <w:sz w:val="28"/>
          <w:szCs w:val="28"/>
          <w:lang w:val="en-US" w:eastAsia="zh-CN"/>
        </w:rPr>
      </w:pPr>
      <w:r>
        <w:rPr>
          <w:rFonts w:hint="default" w:ascii="Arial" w:hAnsi="Arial" w:cs="Arial"/>
          <w:sz w:val="28"/>
          <w:szCs w:val="28"/>
          <w:lang w:val="en-US" w:eastAsia="zh-CN"/>
        </w:rPr>
        <w:t>Hooklift lock box, open the door</w:t>
      </w:r>
    </w:p>
    <w:p w14:paraId="3A4184F1">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Arial" w:hAnsi="Arial" w:cs="Arial"/>
          <w:sz w:val="28"/>
          <w:szCs w:val="28"/>
        </w:rPr>
      </w:pPr>
      <w:r>
        <w:rPr>
          <w:rFonts w:hint="default" w:ascii="Arial" w:hAnsi="Arial" w:cs="Arial"/>
          <w:sz w:val="28"/>
          <w:szCs w:val="28"/>
        </w:rPr>
        <w:drawing>
          <wp:inline distT="0" distB="0" distL="0" distR="0">
            <wp:extent cx="2591435" cy="2091690"/>
            <wp:effectExtent l="0" t="0" r="18415" b="381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30"/>
                    <a:stretch>
                      <a:fillRect/>
                    </a:stretch>
                  </pic:blipFill>
                  <pic:spPr>
                    <a:xfrm>
                      <a:off x="0" y="0"/>
                      <a:ext cx="2591435" cy="2091690"/>
                    </a:xfrm>
                    <a:prstGeom prst="rect">
                      <a:avLst/>
                    </a:prstGeom>
                  </pic:spPr>
                </pic:pic>
              </a:graphicData>
            </a:graphic>
          </wp:inline>
        </w:drawing>
      </w:r>
      <w:r>
        <w:rPr>
          <w:rFonts w:hint="eastAsia" w:eastAsia="宋体" w:cs="Arial"/>
          <w:sz w:val="28"/>
          <w:szCs w:val="28"/>
          <w:lang w:val="en-US" w:eastAsia="zh-CN"/>
        </w:rPr>
        <w:t xml:space="preserve"> </w:t>
      </w:r>
      <w:r>
        <w:rPr>
          <w:rFonts w:hint="default" w:ascii="Arial" w:hAnsi="Arial" w:cs="Arial"/>
          <w:sz w:val="28"/>
          <w:szCs w:val="28"/>
        </w:rPr>
        <w:drawing>
          <wp:inline distT="0" distB="0" distL="0" distR="0">
            <wp:extent cx="2232660" cy="2074545"/>
            <wp:effectExtent l="0" t="0" r="15240" b="1905"/>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31"/>
                    <a:stretch>
                      <a:fillRect/>
                    </a:stretch>
                  </pic:blipFill>
                  <pic:spPr>
                    <a:xfrm>
                      <a:off x="0" y="0"/>
                      <a:ext cx="2232660" cy="2074545"/>
                    </a:xfrm>
                    <a:prstGeom prst="rect">
                      <a:avLst/>
                    </a:prstGeom>
                  </pic:spPr>
                </pic:pic>
              </a:graphicData>
            </a:graphic>
          </wp:inline>
        </w:drawing>
      </w:r>
    </w:p>
    <w:p w14:paraId="02B84C7D">
      <w:pPr>
        <w:keepNext w:val="0"/>
        <w:keepLines w:val="0"/>
        <w:pageBreakBefore w:val="0"/>
        <w:widowControl/>
        <w:kinsoku w:val="0"/>
        <w:wordWrap/>
        <w:overflowPunct/>
        <w:topLinePunct w:val="0"/>
        <w:autoSpaceDE w:val="0"/>
        <w:autoSpaceDN w:val="0"/>
        <w:bidi w:val="0"/>
        <w:adjustRightInd w:val="0"/>
        <w:snapToGrid w:val="0"/>
        <w:ind w:firstLine="1120" w:firstLineChars="400"/>
        <w:textAlignment w:val="baseline"/>
        <w:rPr>
          <w:rFonts w:hint="default" w:ascii="Arial" w:hAnsi="Arial" w:cs="Arial"/>
          <w:sz w:val="28"/>
          <w:szCs w:val="28"/>
        </w:rPr>
      </w:pPr>
      <w:r>
        <w:rPr>
          <w:rFonts w:hint="default" w:ascii="Arial" w:hAnsi="Arial" w:cs="Arial"/>
          <w:sz w:val="28"/>
          <w:szCs w:val="28"/>
        </w:rPr>
        <w:t>图 1</w:t>
      </w:r>
      <w:r>
        <w:rPr>
          <w:rFonts w:hint="eastAsia" w:eastAsia="宋体" w:cs="Arial"/>
          <w:sz w:val="28"/>
          <w:szCs w:val="28"/>
          <w:lang w:val="en-US" w:eastAsia="zh-CN"/>
        </w:rPr>
        <w:t xml:space="preserve">                              </w:t>
      </w:r>
      <w:r>
        <w:rPr>
          <w:rFonts w:hint="default" w:ascii="Arial" w:hAnsi="Arial" w:cs="Arial"/>
          <w:sz w:val="28"/>
          <w:szCs w:val="28"/>
        </w:rPr>
        <w:t>图 2</w:t>
      </w:r>
    </w:p>
    <w:p w14:paraId="27C0425E">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Arial" w:hAnsi="Arial" w:cs="Arial"/>
          <w:sz w:val="28"/>
          <w:szCs w:val="28"/>
        </w:rPr>
      </w:pPr>
      <w:r>
        <w:rPr>
          <w:rFonts w:hint="default" w:ascii="Arial" w:hAnsi="Arial" w:cs="Arial"/>
          <w:sz w:val="28"/>
          <w:szCs w:val="28"/>
        </w:rPr>
        <w:drawing>
          <wp:inline distT="0" distB="0" distL="0" distR="0">
            <wp:extent cx="2605405" cy="2313940"/>
            <wp:effectExtent l="0" t="0" r="4445" b="1016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32"/>
                    <a:stretch>
                      <a:fillRect/>
                    </a:stretch>
                  </pic:blipFill>
                  <pic:spPr>
                    <a:xfrm>
                      <a:off x="0" y="0"/>
                      <a:ext cx="2605405" cy="2313940"/>
                    </a:xfrm>
                    <a:prstGeom prst="rect">
                      <a:avLst/>
                    </a:prstGeom>
                  </pic:spPr>
                </pic:pic>
              </a:graphicData>
            </a:graphic>
          </wp:inline>
        </w:drawing>
      </w:r>
    </w:p>
    <w:p w14:paraId="20EE45EB">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Arial" w:hAnsi="Arial" w:cs="Arial"/>
          <w:sz w:val="28"/>
          <w:szCs w:val="28"/>
        </w:rPr>
      </w:pPr>
      <w:r>
        <w:rPr>
          <w:rFonts w:hint="default" w:ascii="Arial" w:hAnsi="Arial" w:cs="Arial"/>
          <w:sz w:val="28"/>
          <w:szCs w:val="28"/>
        </w:rPr>
        <w:t>图 3</w:t>
      </w:r>
    </w:p>
    <w:p w14:paraId="39DC7A4C">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Arial" w:hAnsi="Arial" w:cs="Arial"/>
          <w:sz w:val="28"/>
          <w:szCs w:val="28"/>
        </w:rPr>
      </w:pPr>
    </w:p>
    <w:p w14:paraId="1F9ADE0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Segoe UI Emoji" w:cs="Times New Roman"/>
          <w:i w:val="0"/>
          <w:iCs w:val="0"/>
          <w:caps w:val="0"/>
          <w:spacing w:val="0"/>
          <w:sz w:val="24"/>
          <w:szCs w:val="24"/>
          <w:lang w:val="en-US" w:eastAsia="zh-CN"/>
        </w:rPr>
      </w:pPr>
      <w:r>
        <w:rPr>
          <w:rFonts w:hint="default" w:ascii="Times New Roman" w:hAnsi="Times New Roman" w:eastAsia="Segoe UI Emoji" w:cs="Times New Roman"/>
          <w:i w:val="0"/>
          <w:iCs w:val="0"/>
          <w:caps w:val="0"/>
          <w:spacing w:val="0"/>
          <w:sz w:val="24"/>
          <w:szCs w:val="24"/>
          <w:lang w:val="en-US" w:eastAsia="zh-CN"/>
        </w:rPr>
        <w:t>As shown in Figure 1, measure the locking area on the container guide rail to ensure the locking hook of the hooklift can lock the container securely (B1＜B＜B2).</w:t>
      </w:r>
    </w:p>
    <w:p w14:paraId="14BE1F0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Segoe UI Emoji" w:cs="Times New Roman"/>
          <w:i w:val="0"/>
          <w:iCs w:val="0"/>
          <w:caps w:val="0"/>
          <w:spacing w:val="0"/>
          <w:sz w:val="24"/>
          <w:szCs w:val="24"/>
          <w:lang w:val="en-US" w:eastAsia="zh-CN"/>
        </w:rPr>
      </w:pPr>
      <w:r>
        <w:rPr>
          <w:rFonts w:hint="default" w:ascii="Times New Roman" w:hAnsi="Times New Roman" w:eastAsia="Segoe UI Emoji" w:cs="Times New Roman"/>
          <w:i w:val="0"/>
          <w:iCs w:val="0"/>
          <w:caps w:val="0"/>
          <w:spacing w:val="0"/>
          <w:sz w:val="24"/>
          <w:szCs w:val="24"/>
          <w:lang w:val="en-US" w:eastAsia="zh-CN"/>
        </w:rPr>
        <w:t>As shown in Figure 2, if the container door is hydraulically driven, photograph and record the position and model of hydraulic quick connectors fitted on the container.</w:t>
      </w:r>
    </w:p>
    <w:p w14:paraId="78FB552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Segoe UI Emoji" w:cs="Times New Roman"/>
          <w:i w:val="0"/>
          <w:iCs w:val="0"/>
          <w:caps w:val="0"/>
          <w:spacing w:val="0"/>
          <w:sz w:val="24"/>
          <w:szCs w:val="24"/>
          <w:lang w:val="en-US" w:eastAsia="zh-CN"/>
        </w:rPr>
      </w:pPr>
      <w:r>
        <w:rPr>
          <w:rFonts w:hint="default" w:ascii="Times New Roman" w:hAnsi="Times New Roman" w:eastAsia="Segoe UI Emoji" w:cs="Times New Roman"/>
          <w:i w:val="0"/>
          <w:iCs w:val="0"/>
          <w:caps w:val="0"/>
          <w:spacing w:val="0"/>
          <w:sz w:val="24"/>
          <w:szCs w:val="24"/>
          <w:lang w:val="en-US" w:eastAsia="zh-CN"/>
        </w:rPr>
        <w:t>As shown in Figure 3, if the container door is electrically driven, photograph and record the position and model of electrical plugs fitted on the container.</w:t>
      </w:r>
    </w:p>
    <w:p w14:paraId="1208A26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Segoe UI Emoji" w:cs="Times New Roman"/>
          <w:i w:val="0"/>
          <w:iCs w:val="0"/>
          <w:caps w:val="0"/>
          <w:spacing w:val="0"/>
          <w:sz w:val="24"/>
          <w:szCs w:val="24"/>
          <w:lang w:val="en-US" w:eastAsia="zh-CN"/>
        </w:rPr>
      </w:pPr>
      <w:r>
        <w:rPr>
          <w:rFonts w:hint="default" w:ascii="Times New Roman" w:hAnsi="Times New Roman" w:eastAsia="Segoe UI Emoji" w:cs="Times New Roman"/>
          <w:i w:val="0"/>
          <w:iCs w:val="0"/>
          <w:caps w:val="0"/>
          <w:spacing w:val="0"/>
          <w:sz w:val="24"/>
          <w:szCs w:val="24"/>
          <w:lang w:val="en-US" w:eastAsia="zh-CN"/>
        </w:rPr>
        <w:t>Photographic records shall also be taken for containers with manually operated doors</w:t>
      </w:r>
      <w:r>
        <w:rPr>
          <w:rFonts w:hint="eastAsia" w:ascii="Times New Roman" w:hAnsi="Times New Roman" w:eastAsia="Segoe UI Emoji" w:cs="Times New Roman"/>
          <w:i w:val="0"/>
          <w:iCs w:val="0"/>
          <w:caps w:val="0"/>
          <w:spacing w:val="0"/>
          <w:sz w:val="24"/>
          <w:szCs w:val="24"/>
          <w:lang w:val="en-US" w:eastAsia="zh-CN"/>
        </w:rPr>
        <w:t>.</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Emoji">
    <w:panose1 w:val="020B0502040204020203"/>
    <w:charset w:val="00"/>
    <w:family w:val="auto"/>
    <w:pitch w:val="default"/>
    <w:sig w:usb0="00000001" w:usb1="02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3C5AE">
    <w:pPr>
      <w:spacing w:after="283" w:line="192" w:lineRule="exact"/>
      <w:rPr>
        <w:rFonts w:ascii="微软雅黑" w:hAnsi="微软雅黑" w:eastAsia="微软雅黑" w:cs="微软雅黑"/>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A8464">
    <w:pPr>
      <w:pBdr>
        <w:top w:val="none" w:color="auto" w:sz="0" w:space="0"/>
        <w:left w:val="none" w:color="auto" w:sz="0" w:space="0"/>
        <w:bottom w:val="none" w:color="auto" w:sz="0" w:space="0"/>
        <w:right w:val="none" w:color="auto" w:sz="0" w:space="0"/>
        <w:between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463710"/>
    <w:multiLevelType w:val="singleLevel"/>
    <w:tmpl w:val="18463710"/>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205A0E"/>
    <w:rsid w:val="02A93B2F"/>
    <w:rsid w:val="08A9335E"/>
    <w:rsid w:val="09205A0E"/>
    <w:rsid w:val="17EE0C55"/>
    <w:rsid w:val="25297FE8"/>
    <w:rsid w:val="26B71D89"/>
    <w:rsid w:val="2B6F5066"/>
    <w:rsid w:val="723B210E"/>
    <w:rsid w:val="7A17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customStyle="1" w:styleId="5">
    <w:name w:val="Table Text"/>
    <w:basedOn w:val="1"/>
    <w:semiHidden/>
    <w:qFormat/>
    <w:uiPriority w:val="0"/>
    <w:rPr>
      <w:rFonts w:ascii="宋体" w:hAnsi="宋体" w:eastAsia="宋体" w:cs="宋体"/>
      <w:sz w:val="20"/>
      <w:szCs w:val="20"/>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jpe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jpe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1298</Words>
  <Characters>7404</Characters>
  <Lines>0</Lines>
  <Paragraphs>0</Paragraphs>
  <TotalTime>0</TotalTime>
  <ScaleCrop>false</ScaleCrop>
  <LinksUpToDate>false</LinksUpToDate>
  <CharactersWithSpaces>8712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2026-08-04T06:55:00Z</dcterms:created>
  <dc:creator>我可胖可胖了</dc:creator>
  <cp:lastModifiedBy>zz</cp:lastModifiedBy>
  <dcterms:modified xsi:type="dcterms:W3CDTF">2026-08-07T07:52:35Z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2D2DEC6D304D4B4CB42B6D7F98B46295_13</vt:lpwstr>
  </property>
  <property fmtid="{D5CDD505-2E9C-101B-9397-08002B2CF9AE}" pid="4" name="KSOTemplateDocerSaveRecord">
    <vt:lpwstr>eyJoZGlkIjoiMjVhZmY3YmJjYzQxMWJlMGE1YjZlMzM5YmM0NGZmNjQiLCJ1c2VySWQiOiI3NzM1NzEzMTYifQ==</vt:lpwstr>
  </property>
</Properties>
</file>